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</w:t>
      </w:r>
      <w:r>
        <w:t xml:space="preserve"> </w:t>
      </w:r>
      <w:r>
        <w:t xml:space="preserve">de</w:t>
      </w:r>
      <w:r>
        <w:t xml:space="preserve"> </w:t>
      </w:r>
      <w:r>
        <w:t xml:space="preserve">Seguridad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Información</w:t>
      </w:r>
    </w:p>
    <w:p>
      <w:pPr>
        <w:pStyle w:val="Subtitle"/>
      </w:pPr>
      <w:r>
        <w:t xml:space="preserve">Andina</w:t>
      </w:r>
      <w:r>
        <w:t xml:space="preserve"> </w:t>
      </w:r>
      <w:r>
        <w:t xml:space="preserve">Pagos</w:t>
      </w:r>
      <w:r>
        <w:t xml:space="preserve"> </w:t>
      </w:r>
      <w:r>
        <w:t xml:space="preserve">S.A.</w:t>
      </w:r>
      <w:r>
        <w:t xml:space="preserve"> </w:t>
      </w:r>
      <w:r>
        <w:t xml:space="preserve">·</w:t>
      </w:r>
      <w:r>
        <w:t xml:space="preserve"> </w:t>
      </w:r>
      <w:r>
        <w:t xml:space="preserve">Código</w:t>
      </w:r>
      <w:r>
        <w:t xml:space="preserve"> </w:t>
      </w:r>
      <w:r>
        <w:t xml:space="preserve">PO-SI-01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3.2</w:t>
      </w:r>
    </w:p>
    <w:p>
      <w:pPr>
        <w:pStyle w:val="FirstParagraph"/>
      </w:pPr>
      <w:r>
        <w:rPr>
          <w:bCs/>
          <w:b/>
        </w:rPr>
        <w:t xml:space="preserve">Clasificación:</w:t>
      </w:r>
      <w:r>
        <w:t xml:space="preserve"> </w:t>
      </w:r>
      <w:r>
        <w:t xml:space="preserve">Uso interno</w:t>
      </w:r>
      <w:r>
        <w:t xml:space="preserve"> </w:t>
      </w:r>
      <w:r>
        <w:rPr>
          <w:bCs/>
          <w:b/>
        </w:rPr>
        <w:t xml:space="preserve">Aprobada por:</w:t>
      </w:r>
      <w:r>
        <w:t xml:space="preserve"> </w:t>
      </w:r>
      <w:r>
        <w:t xml:space="preserve">Directorio, sesión del 14 de marzo de 2025</w:t>
      </w:r>
      <w:r>
        <w:t xml:space="preserve"> </w:t>
      </w:r>
      <w:r>
        <w:rPr>
          <w:bCs/>
          <w:b/>
        </w:rPr>
        <w:t xml:space="preserve">Responsable del documento:</w:t>
      </w:r>
      <w:r>
        <w:t xml:space="preserve"> </w:t>
      </w:r>
      <w:r>
        <w:t xml:space="preserve">Gerencia de Seguridad de la Información</w:t>
      </w:r>
    </w:p>
    <w:p>
      <w:pPr>
        <w:pStyle w:val="BlockText"/>
      </w:pPr>
      <w:r>
        <w:t xml:space="preserve">Documento ficticio creado para el curso CyberAI 2026.2. Andina Pagos S.A. no existe; nombres, correos, teléfonos y números de identificación son inventados.</w:t>
      </w:r>
    </w:p>
    <w:bookmarkStart w:id="2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Establecer los principios y responsabilidades para proteger la confidencialidad, integridad y disponibilidad de la información de Andina Pagos S.A., incluida la información de clientes, comercios afiliados y colaboradores.</w:t>
      </w:r>
    </w:p>
    <w:bookmarkEnd w:id="20"/>
    <w:bookmarkStart w:id="21" w:name="alcance"/>
    <w:p>
      <w:pPr>
        <w:pStyle w:val="Heading1"/>
      </w:pPr>
      <w:r>
        <w:t xml:space="preserve">2. Alcance</w:t>
      </w:r>
    </w:p>
    <w:p>
      <w:pPr>
        <w:pStyle w:val="FirstParagraph"/>
      </w:pPr>
      <w:r>
        <w:t xml:space="preserve">Aplica a todos los colaboradores, practicantes y proveedores que acceden a la información o a los sistemas de Andina Pagos: la billetera móvil, la API de pagos para comercios, el núcleo de pagos del centro de datos de Lima, el centro de datos alterno de Arequipa y los servicios en la nube.</w:t>
      </w:r>
    </w:p>
    <w:bookmarkEnd w:id="21"/>
    <w:bookmarkStart w:id="22" w:name="roles-y-responsabilidades"/>
    <w:p>
      <w:pPr>
        <w:pStyle w:val="Heading1"/>
      </w:pPr>
      <w:r>
        <w:t xml:space="preserve">3. Roles y responsabilidades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Directorio:</w:t>
      </w:r>
      <w:r>
        <w:t xml:space="preserve"> </w:t>
      </w:r>
      <w:r>
        <w:t xml:space="preserve">aprueba esta política y revisa una vez al año el estado de la seguridad de la información.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Gerente de Seguridad de la Información (CISO):</w:t>
      </w:r>
      <w:r>
        <w:t xml:space="preserve"> </w:t>
      </w:r>
      <w:r>
        <w:t xml:space="preserve">Rosa Quispe Mamani (rquispe@andinapagos.example, +51 987 654 321). Define controles, supervisa al SOC tercerizado y reporta al Directorio.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Jefe de Infraestructura:</w:t>
      </w:r>
      <w:r>
        <w:t xml:space="preserve"> </w:t>
      </w:r>
      <w:r>
        <w:t xml:space="preserve">Carlos Huamán Torres (chuaman@andinapagos.example, anexo 4410). Opera servidores, redes y respaldos.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Gerencia Legal:</w:t>
      </w:r>
      <w:r>
        <w:t xml:space="preserve"> </w:t>
      </w:r>
      <w:r>
        <w:t xml:space="preserve">Patricia Salazar Vega (psalazar@andinapagos.example). Atiende las consultas de privacidad de clientes y las comunicaciones con autoridades.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Jefaturas de área:</w:t>
      </w:r>
      <w:r>
        <w:t xml:space="preserve"> </w:t>
      </w:r>
      <w:r>
        <w:t xml:space="preserve">autorizan los accesos de su personal y responden por su uso.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Colaboradores:</w:t>
      </w:r>
      <w:r>
        <w:t xml:space="preserve"> </w:t>
      </w:r>
      <w:r>
        <w:t xml:space="preserve">cumplen esta política y reportan cualquier incidente a soc@andinapagos.example o al +51 1 615 2200.</w:t>
      </w:r>
    </w:p>
    <w:bookmarkEnd w:id="22"/>
    <w:bookmarkStart w:id="23" w:name="clasificación-de-la-información"/>
    <w:p>
      <w:pPr>
        <w:pStyle w:val="Heading1"/>
      </w:pPr>
      <w:r>
        <w:t xml:space="preserve">4. Clasificación de la información</w:t>
      </w:r>
    </w:p>
    <w:p>
      <w:pPr>
        <w:pStyle w:val="FirstParagraph"/>
      </w:pPr>
      <w:r>
        <w:t xml:space="preserve">La información se clasifica en cuatro niveles: Pública, Interna, Confidencial y Restringida. Los datos de tarjetas y las credenciales de clientes son información Restringida. Cada dueño de información define el nivel de los documentos que genera.</w:t>
      </w:r>
    </w:p>
    <w:bookmarkEnd w:id="23"/>
    <w:bookmarkStart w:id="24" w:name="gestión-de-accesos"/>
    <w:p>
      <w:pPr>
        <w:pStyle w:val="Heading1"/>
      </w:pPr>
      <w:r>
        <w:t xml:space="preserve">5. Gestión de accesos</w:t>
      </w:r>
    </w:p>
    <w:p>
      <w:pPr>
        <w:pStyle w:val="FirstParagraph"/>
      </w:pPr>
      <w:r>
        <w:t xml:space="preserve">5.1 Las altas, modificaciones y bajas de usuarios se solicitan mediante ticket en la mesa de ayuda y requieren la aprobación de la jefatura del área.</w:t>
      </w:r>
    </w:p>
    <w:p>
      <w:pPr>
        <w:pStyle w:val="BodyText"/>
      </w:pPr>
      <w:r>
        <w:t xml:space="preserve">5.2 Las bajas por término de contrato se ejecutan dentro de los 5 días hábiles siguientes a la notificación de Recursos Humanos.</w:t>
      </w:r>
    </w:p>
    <w:p>
      <w:pPr>
        <w:pStyle w:val="BodyText"/>
      </w:pPr>
      <w:r>
        <w:t xml:space="preserve">5.3 El acceso remoto y el acceso a sistemas críticos exigen autenticación multifactor. Las contraseñas tienen al menos 12 caracteres y se renuevan cada 180 días.</w:t>
      </w:r>
    </w:p>
    <w:p>
      <w:pPr>
        <w:pStyle w:val="BodyText"/>
      </w:pPr>
      <w:r>
        <w:t xml:space="preserve">5.4 Las jefaturas revisan una vez al año los privilegios asignados a su personal.</w:t>
      </w:r>
    </w:p>
    <w:bookmarkEnd w:id="24"/>
    <w:bookmarkStart w:id="25" w:name="registro-y-monitoreo"/>
    <w:p>
      <w:pPr>
        <w:pStyle w:val="Heading1"/>
      </w:pPr>
      <w:r>
        <w:t xml:space="preserve">6. Registro y monitoreo</w:t>
      </w:r>
    </w:p>
    <w:p>
      <w:pPr>
        <w:pStyle w:val="FirstParagraph"/>
      </w:pPr>
      <w:r>
        <w:t xml:space="preserve">6.1 Los sistemas que procesan información Confidencial o Restringida registran los inicios de sesión y las acciones administrativas.</w:t>
      </w:r>
    </w:p>
    <w:p>
      <w:pPr>
        <w:pStyle w:val="BodyText"/>
      </w:pPr>
      <w:r>
        <w:t xml:space="preserve">6.2 El SOC tercerizado monitorea las alertas 24 horas al día, 7 días a la semana.</w:t>
      </w:r>
    </w:p>
    <w:p>
      <w:pPr>
        <w:pStyle w:val="BodyText"/>
      </w:pPr>
      <w:r>
        <w:t xml:space="preserve">6.3 Los registros se conservan durante 12 meses y luego se eliminan de forma automática.</w:t>
      </w:r>
    </w:p>
    <w:bookmarkEnd w:id="25"/>
    <w:bookmarkStart w:id="26" w:name="respaldos"/>
    <w:p>
      <w:pPr>
        <w:pStyle w:val="Heading1"/>
      </w:pPr>
      <w:r>
        <w:t xml:space="preserve">7. Respaldos</w:t>
      </w:r>
    </w:p>
    <w:p>
      <w:pPr>
        <w:pStyle w:val="FirstParagraph"/>
      </w:pPr>
      <w:r>
        <w:t xml:space="preserve">7.1 Se realizan respaldos incrementales diarios y completos semanales de las bases de datos de clientes y transacciones.</w:t>
      </w:r>
    </w:p>
    <w:p>
      <w:pPr>
        <w:pStyle w:val="BodyText"/>
      </w:pPr>
      <w:r>
        <w:t xml:space="preserve">7.2 Los respaldos se cifran y se almacenan en el centro de datos alterno de Arequipa.</w:t>
      </w:r>
    </w:p>
    <w:p>
      <w:pPr>
        <w:pStyle w:val="BodyText"/>
      </w:pPr>
      <w:r>
        <w:t xml:space="preserve">7.3 El área de Infraestructura verifica cada día que los trabajos de respaldo terminen sin errores.</w:t>
      </w:r>
    </w:p>
    <w:bookmarkEnd w:id="26"/>
    <w:bookmarkStart w:id="27" w:name="seguridad-física-y-de-equipos"/>
    <w:p>
      <w:pPr>
        <w:pStyle w:val="Heading1"/>
      </w:pPr>
      <w:r>
        <w:t xml:space="preserve">8. Seguridad física y de equipos</w:t>
      </w:r>
    </w:p>
    <w:p>
      <w:pPr>
        <w:pStyle w:val="FirstParagraph"/>
      </w:pPr>
      <w:r>
        <w:t xml:space="preserve">8.1 El ingreso a los centros de datos requiere tarjeta de proximidad y queda registrado. Las salas cuentan con CCTV, control de temperatura, sistema contra incendios y UPS.</w:t>
      </w:r>
    </w:p>
    <w:p>
      <w:pPr>
        <w:pStyle w:val="BodyText"/>
      </w:pPr>
      <w:r>
        <w:t xml:space="preserve">8.2 Ningún equipo sale de las instalaciones sin autorización de Infraestructura. Los discos se borran de forma segura antes de reutilizarse o darse de baja.</w:t>
      </w:r>
    </w:p>
    <w:p>
      <w:pPr>
        <w:pStyle w:val="BodyText"/>
      </w:pPr>
      <w:r>
        <w:t xml:space="preserve">8.3 Rige una política de escritorio y pantalla limpios; las estaciones se bloquean tras 5 minutos de inactividad.</w:t>
      </w:r>
    </w:p>
    <w:bookmarkEnd w:id="27"/>
    <w:bookmarkStart w:id="28" w:name="transferencia-de-información"/>
    <w:p>
      <w:pPr>
        <w:pStyle w:val="Heading1"/>
      </w:pPr>
      <w:r>
        <w:t xml:space="preserve">9. Transferencia de información</w:t>
      </w:r>
    </w:p>
    <w:p>
      <w:pPr>
        <w:pStyle w:val="FirstParagraph"/>
      </w:pPr>
      <w:r>
        <w:t xml:space="preserve">Toda transferencia de información Confidencial o Restringida fuera de Andina Pagos se realiza por canales cifrados (TLS 1.2 o superior, o SFTP para los comercios) y requiere autorización del dueño de la información.</w:t>
      </w:r>
    </w:p>
    <w:bookmarkEnd w:id="28"/>
    <w:bookmarkStart w:id="29" w:name="proveedores"/>
    <w:p>
      <w:pPr>
        <w:pStyle w:val="Heading1"/>
      </w:pPr>
      <w:r>
        <w:t xml:space="preserve">10. Proveedores</w:t>
      </w:r>
    </w:p>
    <w:p>
      <w:pPr>
        <w:pStyle w:val="FirstParagraph"/>
      </w:pPr>
      <w:r>
        <w:t xml:space="preserve">Los proveedores con acceso a información de Andina Pagos firman un acuerdo de confidencialidad. Seguridad de la Información evalúa una vez al año a los proveedores críticos.</w:t>
      </w:r>
    </w:p>
    <w:bookmarkEnd w:id="29"/>
    <w:bookmarkStart w:id="30" w:name="gestión-de-incidentes"/>
    <w:p>
      <w:pPr>
        <w:pStyle w:val="Heading1"/>
      </w:pPr>
      <w:r>
        <w:t xml:space="preserve">11. Gestión de incidentes</w:t>
      </w:r>
    </w:p>
    <w:p>
      <w:pPr>
        <w:pStyle w:val="FirstParagraph"/>
      </w:pPr>
      <w:r>
        <w:t xml:space="preserve">11.1 Los incidentes se registran en la herramienta de tickets, con su descripción, impacto y medidas adoptadas.</w:t>
      </w:r>
    </w:p>
    <w:p>
      <w:pPr>
        <w:pStyle w:val="BodyText"/>
      </w:pPr>
      <w:r>
        <w:t xml:space="preserve">11.2 El CISO clasifica la severidad del incidente y coordina la respuesta con el SOC.</w:t>
      </w:r>
    </w:p>
    <w:p>
      <w:pPr>
        <w:pStyle w:val="BodyText"/>
      </w:pPr>
      <w:r>
        <w:t xml:space="preserve">11.3 Si el incidente involucra datos personales de clientes, la Gerencia Legal notifica a la autoridad de protección de datos dentro de las 72 horas siguientes a su confirmación.</w:t>
      </w:r>
    </w:p>
    <w:bookmarkEnd w:id="30"/>
    <w:bookmarkStart w:id="31" w:name="herramientas-de-comunicación"/>
    <w:p>
      <w:pPr>
        <w:pStyle w:val="Heading1"/>
      </w:pPr>
      <w:r>
        <w:t xml:space="preserve">12. Herramientas de comunicación</w:t>
      </w:r>
    </w:p>
    <w:p>
      <w:pPr>
        <w:pStyle w:val="FirstParagraph"/>
      </w:pPr>
      <w:r>
        <w:t xml:space="preserve">Cuando el correo corporativo no esté disponible, los equipos pueden coordinarse por aplicaciones de mensajería de uso personal.</w:t>
      </w:r>
    </w:p>
    <w:bookmarkEnd w:id="31"/>
    <w:bookmarkStart w:id="32" w:name="capacitación"/>
    <w:p>
      <w:pPr>
        <w:pStyle w:val="Heading1"/>
      </w:pPr>
      <w:r>
        <w:t xml:space="preserve">13. Capacitación</w:t>
      </w:r>
    </w:p>
    <w:p>
      <w:pPr>
        <w:pStyle w:val="FirstParagraph"/>
      </w:pPr>
      <w:r>
        <w:t xml:space="preserve">Todo el personal completa cada año el curso de inducción en seguridad de la información.</w:t>
      </w:r>
    </w:p>
    <w:bookmarkEnd w:id="32"/>
    <w:bookmarkStart w:id="33" w:name="revisión"/>
    <w:p>
      <w:pPr>
        <w:pStyle w:val="Heading1"/>
      </w:pPr>
      <w:r>
        <w:t xml:space="preserve">14. Revisión</w:t>
      </w:r>
    </w:p>
    <w:p>
      <w:pPr>
        <w:pStyle w:val="FirstParagraph"/>
      </w:pPr>
      <w:r>
        <w:t xml:space="preserve">Esta política se revisa cada dos años o ante cambios regulatorios relevantes.</w:t>
      </w:r>
    </w:p>
    <w:bookmarkEnd w:id="33"/>
    <w:bookmarkStart w:id="34" w:name="anexo-registro-de-aprobación"/>
    <w:p>
      <w:pPr>
        <w:pStyle w:val="Heading1"/>
      </w:pPr>
      <w:r>
        <w:t xml:space="preserve">Anexo · Registro de 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Jorge Mendoza Ríos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41852036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14/03/2025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Quispe Mamani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45120987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14/03/2025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Salazar Vega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40776315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14/03/2025</w:t>
            </w: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Seguridad de la Información</dc:title>
  <dc:creator/>
  <cp:keywords/>
  <dcterms:created xsi:type="dcterms:W3CDTF">2026-10-15T03:35:04Z</dcterms:created>
  <dcterms:modified xsi:type="dcterms:W3CDTF">2026-10-15T03:35:04Z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Andina Pagos S.A. · Código PO-SI-01 · Versión 3.2</vt:lpwstr>
  </property>
</Properties>
</file>