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6F9F" w14:textId="5CA9988F" w:rsidR="000E6910" w:rsidRPr="005022CA" w:rsidRDefault="000E6910" w:rsidP="000E6910">
      <w:pPr>
        <w:spacing w:before="120" w:after="120"/>
        <w:outlineLvl w:val="2"/>
        <w:rPr>
          <w:rFonts w:eastAsia="Times New Roman" w:cs="Arial"/>
          <w:b/>
          <w:bCs/>
          <w:sz w:val="28"/>
          <w:szCs w:val="28"/>
        </w:rPr>
      </w:pPr>
      <w:r w:rsidRPr="005022CA">
        <w:rPr>
          <w:rFonts w:eastAsia="Times New Roman" w:cs="Arial"/>
          <w:b/>
          <w:bCs/>
          <w:sz w:val="28"/>
          <w:szCs w:val="28"/>
        </w:rPr>
        <w:t>University of Alabama at Birmingham</w:t>
      </w:r>
    </w:p>
    <w:p w14:paraId="06B2F67D" w14:textId="27FE3711" w:rsidR="000E6910" w:rsidRPr="005022CA" w:rsidRDefault="000E6910" w:rsidP="000E6910">
      <w:pPr>
        <w:spacing w:after="120"/>
        <w:outlineLvl w:val="1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DATA CLASSIFICATION </w:t>
      </w:r>
      <w:r w:rsidR="00D334EF">
        <w:rPr>
          <w:rFonts w:eastAsia="Times New Roman" w:cs="Times New Roman"/>
          <w:b/>
          <w:bCs/>
          <w:sz w:val="28"/>
          <w:szCs w:val="28"/>
        </w:rPr>
        <w:t>RULE</w:t>
      </w:r>
    </w:p>
    <w:p w14:paraId="1AB7A81C" w14:textId="571164B9" w:rsidR="00734C00" w:rsidRPr="0081425B" w:rsidRDefault="00734C00" w:rsidP="00734C00">
      <w:pPr>
        <w:spacing w:after="120"/>
        <w:outlineLvl w:val="1"/>
        <w:rPr>
          <w:rFonts w:eastAsia="Times New Roman" w:cs="Times New Roman"/>
          <w:bCs/>
          <w:sz w:val="22"/>
          <w:szCs w:val="22"/>
        </w:rPr>
      </w:pPr>
      <w:r w:rsidRPr="0081425B">
        <w:rPr>
          <w:rFonts w:eastAsia="Times New Roman" w:cs="Times New Roman"/>
          <w:bCs/>
          <w:sz w:val="22"/>
          <w:szCs w:val="22"/>
        </w:rPr>
        <w:t>Approved and Implemented:  February 22, 2017</w:t>
      </w:r>
    </w:p>
    <w:p w14:paraId="1AA6D714" w14:textId="6B2C7577" w:rsidR="000E6910" w:rsidRPr="00B963F3" w:rsidRDefault="00361B1E" w:rsidP="000E6910">
      <w:pPr>
        <w:spacing w:after="120"/>
        <w:jc w:val="both"/>
        <w:outlineLvl w:val="2"/>
        <w:rPr>
          <w:rFonts w:eastAsia="Times New Roman" w:cs="Arial"/>
          <w:bCs/>
          <w:sz w:val="22"/>
          <w:szCs w:val="22"/>
        </w:rPr>
      </w:pPr>
      <w:r w:rsidRPr="0081425B">
        <w:rPr>
          <w:rFonts w:eastAsia="Times New Roman" w:cs="Times New Roman"/>
          <w:bCs/>
          <w:sz w:val="22"/>
          <w:szCs w:val="22"/>
        </w:rPr>
        <w:t>Reviewed/</w:t>
      </w:r>
      <w:r w:rsidR="00734C00" w:rsidRPr="0081425B">
        <w:rPr>
          <w:rFonts w:eastAsia="Times New Roman" w:cs="Times New Roman"/>
          <w:bCs/>
          <w:sz w:val="22"/>
          <w:szCs w:val="22"/>
        </w:rPr>
        <w:t xml:space="preserve">Updated:  </w:t>
      </w:r>
      <w:r w:rsidR="00B963F3">
        <w:rPr>
          <w:rFonts w:eastAsia="Times New Roman" w:cs="Times New Roman"/>
          <w:bCs/>
          <w:sz w:val="22"/>
          <w:szCs w:val="22"/>
        </w:rPr>
        <w:t xml:space="preserve">June 28, </w:t>
      </w:r>
      <w:r w:rsidR="005C17F1">
        <w:rPr>
          <w:rFonts w:eastAsia="Times New Roman" w:cs="Times New Roman"/>
          <w:bCs/>
          <w:sz w:val="22"/>
          <w:szCs w:val="22"/>
        </w:rPr>
        <w:t>2021</w:t>
      </w:r>
    </w:p>
    <w:p w14:paraId="75CCC39B" w14:textId="2472F76E" w:rsidR="000E6910" w:rsidRDefault="000E6910" w:rsidP="000E6910">
      <w:pPr>
        <w:spacing w:after="120"/>
        <w:rPr>
          <w:rFonts w:eastAsia="Times New Roman" w:cs="Tahoma"/>
          <w:b/>
          <w:bCs/>
        </w:rPr>
      </w:pPr>
    </w:p>
    <w:p w14:paraId="0D95E08D" w14:textId="2A0B2665" w:rsidR="000E6910" w:rsidRPr="00845ED4" w:rsidRDefault="000E6910" w:rsidP="000E6910">
      <w:pPr>
        <w:spacing w:after="120"/>
        <w:rPr>
          <w:rFonts w:eastAsia="Times New Roman" w:cs="Times New Roman"/>
          <w:sz w:val="22"/>
          <w:szCs w:val="22"/>
        </w:rPr>
      </w:pPr>
      <w:r w:rsidRPr="00845ED4">
        <w:rPr>
          <w:rFonts w:eastAsia="Times New Roman" w:cs="Tahoma"/>
          <w:b/>
          <w:bCs/>
          <w:sz w:val="22"/>
          <w:szCs w:val="22"/>
        </w:rPr>
        <w:t>Related Policies, Procedures, and Resources</w:t>
      </w:r>
    </w:p>
    <w:p w14:paraId="49D4433C" w14:textId="77EDEBAE" w:rsidR="000E6910" w:rsidRDefault="000A17B8" w:rsidP="007C14B8">
      <w:pPr>
        <w:ind w:left="360"/>
        <w:rPr>
          <w:rStyle w:val="Hyperlink"/>
          <w:rFonts w:eastAsia="Times New Roman" w:cs="Arial"/>
          <w:sz w:val="22"/>
          <w:szCs w:val="22"/>
        </w:rPr>
      </w:pPr>
      <w:hyperlink r:id="rId10" w:history="1">
        <w:r w:rsidR="000E6910" w:rsidRPr="007120F4">
          <w:rPr>
            <w:rStyle w:val="Hyperlink"/>
            <w:rFonts w:eastAsia="Times New Roman" w:cs="Arial"/>
            <w:sz w:val="22"/>
            <w:szCs w:val="22"/>
          </w:rPr>
          <w:t>Data Protection and Security Policy</w:t>
        </w:r>
      </w:hyperlink>
    </w:p>
    <w:p w14:paraId="767CE93A" w14:textId="18444EAC" w:rsidR="00572B0D" w:rsidRDefault="000A17B8" w:rsidP="007C14B8">
      <w:pPr>
        <w:ind w:left="360"/>
      </w:pPr>
      <w:hyperlink r:id="rId11" w:tgtFrame="_blank" w:history="1">
        <w:r w:rsidR="00572B0D" w:rsidRPr="00572B0D">
          <w:rPr>
            <w:color w:val="0000FF"/>
            <w:u w:val="single"/>
          </w:rPr>
          <w:t>Data Access Policy</w:t>
        </w:r>
      </w:hyperlink>
    </w:p>
    <w:p w14:paraId="127F8C93" w14:textId="4BE27A47" w:rsidR="00572B0D" w:rsidRDefault="000A17B8" w:rsidP="007C14B8">
      <w:pPr>
        <w:ind w:left="360"/>
      </w:pPr>
      <w:hyperlink r:id="rId12" w:tgtFrame="_blank" w:history="1">
        <w:r w:rsidR="002D7150" w:rsidRPr="002D7150">
          <w:rPr>
            <w:color w:val="0000FF"/>
            <w:u w:val="single"/>
          </w:rPr>
          <w:t>Acceptable Use Policy</w:t>
        </w:r>
      </w:hyperlink>
    </w:p>
    <w:p w14:paraId="4A79C704" w14:textId="0AD801E7" w:rsidR="002D7150" w:rsidRDefault="000A17B8" w:rsidP="007C14B8">
      <w:pPr>
        <w:ind w:left="360"/>
      </w:pPr>
      <w:hyperlink r:id="rId13" w:tgtFrame="_blank" w:history="1">
        <w:r w:rsidR="002D7150" w:rsidRPr="002D7150">
          <w:rPr>
            <w:color w:val="0000FF"/>
            <w:u w:val="single"/>
          </w:rPr>
          <w:t>Data Protection Rule</w:t>
        </w:r>
      </w:hyperlink>
    </w:p>
    <w:p w14:paraId="69337529" w14:textId="24B682BA" w:rsidR="002D7150" w:rsidRDefault="000A17B8" w:rsidP="007C14B8">
      <w:pPr>
        <w:ind w:left="360"/>
      </w:pPr>
      <w:hyperlink r:id="rId14" w:tgtFrame="_blank" w:history="1">
        <w:r w:rsidR="002D7150" w:rsidRPr="002D7150">
          <w:rPr>
            <w:color w:val="0000FF"/>
            <w:u w:val="single"/>
          </w:rPr>
          <w:t>Data custodian responsibilities</w:t>
        </w:r>
      </w:hyperlink>
    </w:p>
    <w:p w14:paraId="4AEF4D83" w14:textId="77777777" w:rsidR="000E6910" w:rsidRPr="00BE5E88" w:rsidRDefault="000E6910" w:rsidP="00EF7554">
      <w:pPr>
        <w:rPr>
          <w:b/>
          <w:sz w:val="22"/>
          <w:szCs w:val="22"/>
        </w:rPr>
      </w:pPr>
    </w:p>
    <w:p w14:paraId="05C08F50" w14:textId="01419694" w:rsidR="00451D77" w:rsidRPr="00BE5E88" w:rsidRDefault="00451D77" w:rsidP="00EF7554">
      <w:pPr>
        <w:rPr>
          <w:b/>
          <w:sz w:val="22"/>
          <w:szCs w:val="22"/>
        </w:rPr>
      </w:pPr>
      <w:r w:rsidRPr="00BE5E88">
        <w:rPr>
          <w:b/>
          <w:sz w:val="22"/>
          <w:szCs w:val="22"/>
        </w:rPr>
        <w:t xml:space="preserve">1.0 </w:t>
      </w:r>
      <w:r w:rsidR="00BE5E88">
        <w:rPr>
          <w:b/>
          <w:sz w:val="22"/>
          <w:szCs w:val="22"/>
        </w:rPr>
        <w:t>Introduction</w:t>
      </w:r>
    </w:p>
    <w:p w14:paraId="474691DB" w14:textId="77777777" w:rsidR="00451D77" w:rsidRPr="00BE5E88" w:rsidRDefault="00451D77" w:rsidP="00845ED4">
      <w:pPr>
        <w:ind w:firstLine="720"/>
        <w:rPr>
          <w:sz w:val="22"/>
          <w:szCs w:val="22"/>
        </w:rPr>
      </w:pPr>
    </w:p>
    <w:p w14:paraId="79565553" w14:textId="77777777" w:rsidR="00451D77" w:rsidRPr="00BE5E88" w:rsidRDefault="00451D77" w:rsidP="00EF7554">
      <w:pPr>
        <w:rPr>
          <w:sz w:val="22"/>
          <w:szCs w:val="22"/>
        </w:rPr>
      </w:pPr>
      <w:r w:rsidRPr="00BE5E88">
        <w:rPr>
          <w:sz w:val="22"/>
          <w:szCs w:val="22"/>
        </w:rPr>
        <w:t>The objective of this data classification requirement is to assist the UAB community in the classification of data and systems to determine the appropriate level of security.</w:t>
      </w:r>
    </w:p>
    <w:p w14:paraId="22B64D85" w14:textId="77777777" w:rsidR="00451D77" w:rsidRPr="00BE5E88" w:rsidRDefault="00451D77" w:rsidP="00EF7554">
      <w:pPr>
        <w:rPr>
          <w:sz w:val="22"/>
          <w:szCs w:val="22"/>
        </w:rPr>
      </w:pPr>
    </w:p>
    <w:p w14:paraId="46C8AD27" w14:textId="68FE9821" w:rsidR="00451D77" w:rsidRPr="00BE5E88" w:rsidRDefault="00451D77" w:rsidP="00EF7554">
      <w:pPr>
        <w:rPr>
          <w:b/>
          <w:sz w:val="22"/>
          <w:szCs w:val="22"/>
        </w:rPr>
      </w:pPr>
      <w:r w:rsidRPr="00BE5E88">
        <w:rPr>
          <w:b/>
          <w:sz w:val="22"/>
          <w:szCs w:val="22"/>
        </w:rPr>
        <w:t xml:space="preserve">2.0 </w:t>
      </w:r>
      <w:r w:rsidR="00BE5E88">
        <w:rPr>
          <w:b/>
          <w:sz w:val="22"/>
          <w:szCs w:val="22"/>
        </w:rPr>
        <w:t>Scope and Applicability</w:t>
      </w:r>
    </w:p>
    <w:p w14:paraId="1BA77D5F" w14:textId="77777777" w:rsidR="00451D77" w:rsidRPr="00BE5E88" w:rsidRDefault="00451D77" w:rsidP="00A44BD2">
      <w:pPr>
        <w:rPr>
          <w:sz w:val="22"/>
          <w:szCs w:val="22"/>
        </w:rPr>
      </w:pPr>
    </w:p>
    <w:p w14:paraId="038174F1" w14:textId="787E1019" w:rsidR="00451D77" w:rsidRPr="00BE5E88" w:rsidRDefault="00451D77" w:rsidP="00A44BD2">
      <w:pPr>
        <w:rPr>
          <w:sz w:val="22"/>
          <w:szCs w:val="22"/>
        </w:rPr>
      </w:pPr>
      <w:r w:rsidRPr="00BE5E88">
        <w:rPr>
          <w:sz w:val="22"/>
          <w:szCs w:val="22"/>
        </w:rPr>
        <w:t xml:space="preserve">All UAB data stored, processed, or transmitted must be classified in accordance with this </w:t>
      </w:r>
      <w:r w:rsidR="00D334EF">
        <w:rPr>
          <w:sz w:val="22"/>
          <w:szCs w:val="22"/>
        </w:rPr>
        <w:t>rule.</w:t>
      </w:r>
      <w:r w:rsidRPr="00BE5E88">
        <w:rPr>
          <w:sz w:val="22"/>
          <w:szCs w:val="22"/>
        </w:rPr>
        <w:t>  Based on classification; users are required to implement appropriate security controls.</w:t>
      </w:r>
    </w:p>
    <w:p w14:paraId="17717DBD" w14:textId="77777777" w:rsidR="00451D77" w:rsidRPr="00BE5E88" w:rsidRDefault="00451D77" w:rsidP="00A44BD2">
      <w:pPr>
        <w:rPr>
          <w:sz w:val="22"/>
          <w:szCs w:val="22"/>
        </w:rPr>
      </w:pPr>
    </w:p>
    <w:p w14:paraId="77F17C2C" w14:textId="1877A65A" w:rsidR="00451D77" w:rsidRPr="00BE5E88" w:rsidRDefault="00451D77" w:rsidP="00A44BD2">
      <w:pPr>
        <w:rPr>
          <w:b/>
          <w:sz w:val="22"/>
          <w:szCs w:val="22"/>
        </w:rPr>
      </w:pPr>
      <w:r w:rsidRPr="00BE5E88">
        <w:rPr>
          <w:b/>
          <w:sz w:val="22"/>
          <w:szCs w:val="22"/>
        </w:rPr>
        <w:t xml:space="preserve">3.0 Classifying Data </w:t>
      </w:r>
    </w:p>
    <w:p w14:paraId="06358CE3" w14:textId="77777777" w:rsidR="00451D77" w:rsidRPr="00BE5E88" w:rsidRDefault="00451D77" w:rsidP="00A44BD2">
      <w:pPr>
        <w:rPr>
          <w:sz w:val="22"/>
          <w:szCs w:val="22"/>
        </w:rPr>
      </w:pPr>
    </w:p>
    <w:p w14:paraId="070FC6E1" w14:textId="507A7F02" w:rsidR="007D0F38" w:rsidRPr="00BE5E88" w:rsidRDefault="007D0F38" w:rsidP="00A44BD2">
      <w:pPr>
        <w:rPr>
          <w:sz w:val="22"/>
          <w:szCs w:val="22"/>
        </w:rPr>
      </w:pPr>
      <w:r w:rsidRPr="00BE5E88">
        <w:rPr>
          <w:sz w:val="22"/>
          <w:szCs w:val="22"/>
        </w:rPr>
        <w:t xml:space="preserve">All UAB data </w:t>
      </w:r>
      <w:r w:rsidR="00D334EF">
        <w:rPr>
          <w:sz w:val="22"/>
          <w:szCs w:val="22"/>
        </w:rPr>
        <w:t>must be</w:t>
      </w:r>
      <w:r w:rsidR="00D334EF" w:rsidRPr="00BE5E88">
        <w:rPr>
          <w:sz w:val="22"/>
          <w:szCs w:val="22"/>
        </w:rPr>
        <w:t xml:space="preserve"> </w:t>
      </w:r>
      <w:r w:rsidRPr="00BE5E88">
        <w:rPr>
          <w:sz w:val="22"/>
          <w:szCs w:val="22"/>
        </w:rPr>
        <w:t xml:space="preserve">classified into one of the three following categories.  </w:t>
      </w:r>
    </w:p>
    <w:p w14:paraId="486F4291" w14:textId="00E6222E" w:rsidR="00451D77" w:rsidRPr="005C17F1" w:rsidRDefault="002D7150" w:rsidP="00A55B26">
      <w:pPr>
        <w:pStyle w:val="ListParagraph"/>
        <w:numPr>
          <w:ilvl w:val="0"/>
          <w:numId w:val="1"/>
        </w:numPr>
        <w:spacing w:before="120"/>
        <w:ind w:left="360"/>
        <w:rPr>
          <w:sz w:val="22"/>
          <w:szCs w:val="22"/>
        </w:rPr>
      </w:pPr>
      <w:r w:rsidRPr="005C17F1">
        <w:rPr>
          <w:b/>
          <w:sz w:val="22"/>
          <w:szCs w:val="22"/>
        </w:rPr>
        <w:t xml:space="preserve">Public Data: </w:t>
      </w:r>
      <w:r w:rsidR="00451D77" w:rsidRPr="005C17F1">
        <w:rPr>
          <w:sz w:val="22"/>
          <w:szCs w:val="22"/>
        </w:rPr>
        <w:t xml:space="preserve"> </w:t>
      </w:r>
      <w:r w:rsidR="00D501E5" w:rsidRPr="005C17F1">
        <w:rPr>
          <w:sz w:val="22"/>
          <w:szCs w:val="22"/>
        </w:rPr>
        <w:t>This data c</w:t>
      </w:r>
      <w:r w:rsidR="00482054" w:rsidRPr="005C17F1">
        <w:rPr>
          <w:sz w:val="22"/>
          <w:szCs w:val="22"/>
        </w:rPr>
        <w:t>lassification is for data that is low r</w:t>
      </w:r>
      <w:r w:rsidR="00D501E5" w:rsidRPr="005C17F1">
        <w:rPr>
          <w:sz w:val="22"/>
          <w:szCs w:val="22"/>
        </w:rPr>
        <w:t>isk</w:t>
      </w:r>
      <w:r w:rsidR="00097B83" w:rsidRPr="005C17F1">
        <w:rPr>
          <w:sz w:val="22"/>
          <w:szCs w:val="22"/>
        </w:rPr>
        <w:t>.</w:t>
      </w:r>
      <w:r w:rsidR="00D501E5" w:rsidRPr="005C17F1">
        <w:rPr>
          <w:sz w:val="22"/>
          <w:szCs w:val="22"/>
        </w:rPr>
        <w:t xml:space="preserve">  </w:t>
      </w:r>
      <w:r w:rsidR="00097B83" w:rsidRPr="005C17F1">
        <w:rPr>
          <w:sz w:val="22"/>
          <w:szCs w:val="22"/>
        </w:rPr>
        <w:t>T</w:t>
      </w:r>
      <w:r w:rsidR="00D501E5" w:rsidRPr="005C17F1">
        <w:rPr>
          <w:sz w:val="22"/>
          <w:szCs w:val="22"/>
        </w:rPr>
        <w:t xml:space="preserve">he loss of the data’s confidentiality, integrity or availability </w:t>
      </w:r>
      <w:r w:rsidR="00D501E5" w:rsidRPr="005C17F1">
        <w:rPr>
          <w:b/>
          <w:sz w:val="22"/>
          <w:szCs w:val="22"/>
          <w:u w:val="single"/>
        </w:rPr>
        <w:t>would not</w:t>
      </w:r>
      <w:r w:rsidR="00D501E5" w:rsidRPr="005C17F1">
        <w:rPr>
          <w:sz w:val="22"/>
          <w:szCs w:val="22"/>
        </w:rPr>
        <w:t xml:space="preserve"> cause harm to UAB’s mission, safety, </w:t>
      </w:r>
      <w:proofErr w:type="gramStart"/>
      <w:r w:rsidR="00D501E5" w:rsidRPr="005C17F1">
        <w:rPr>
          <w:sz w:val="22"/>
          <w:szCs w:val="22"/>
        </w:rPr>
        <w:t>finances</w:t>
      </w:r>
      <w:proofErr w:type="gramEnd"/>
      <w:r w:rsidR="00D501E5" w:rsidRPr="005C17F1">
        <w:rPr>
          <w:sz w:val="22"/>
          <w:szCs w:val="22"/>
        </w:rPr>
        <w:t xml:space="preserve"> or reputation.  </w:t>
      </w:r>
      <w:r w:rsidR="00482054" w:rsidRPr="005C17F1">
        <w:rPr>
          <w:sz w:val="22"/>
          <w:szCs w:val="22"/>
        </w:rPr>
        <w:t xml:space="preserve">This is data that </w:t>
      </w:r>
      <w:r w:rsidR="00D501E5" w:rsidRPr="005C17F1">
        <w:rPr>
          <w:sz w:val="22"/>
          <w:szCs w:val="22"/>
        </w:rPr>
        <w:t>UAB has chosen or is required to disclose to the public.</w:t>
      </w:r>
    </w:p>
    <w:p w14:paraId="6331A0E5" w14:textId="49D39367" w:rsidR="00451D77" w:rsidRPr="005C17F1" w:rsidRDefault="00451D77" w:rsidP="00A55B26">
      <w:pPr>
        <w:spacing w:before="120"/>
        <w:ind w:left="360"/>
        <w:rPr>
          <w:sz w:val="22"/>
          <w:szCs w:val="22"/>
        </w:rPr>
      </w:pPr>
      <w:r w:rsidRPr="005C17F1">
        <w:rPr>
          <w:sz w:val="22"/>
          <w:szCs w:val="22"/>
          <w:u w:val="single"/>
        </w:rPr>
        <w:t>Examples</w:t>
      </w:r>
      <w:r w:rsidR="00D501E5" w:rsidRPr="005C17F1">
        <w:rPr>
          <w:sz w:val="22"/>
          <w:szCs w:val="22"/>
          <w:u w:val="single"/>
        </w:rPr>
        <w:t xml:space="preserve"> include but are not limited </w:t>
      </w:r>
      <w:proofErr w:type="gramStart"/>
      <w:r w:rsidR="00D501E5" w:rsidRPr="005C17F1">
        <w:rPr>
          <w:sz w:val="22"/>
          <w:szCs w:val="22"/>
          <w:u w:val="single"/>
        </w:rPr>
        <w:t>to</w:t>
      </w:r>
      <w:r w:rsidRPr="005C17F1">
        <w:rPr>
          <w:sz w:val="22"/>
          <w:szCs w:val="22"/>
          <w:u w:val="single"/>
        </w:rPr>
        <w:t>:</w:t>
      </w:r>
      <w:proofErr w:type="gramEnd"/>
      <w:r w:rsidR="002D7150" w:rsidRPr="005C17F1">
        <w:rPr>
          <w:sz w:val="22"/>
          <w:szCs w:val="22"/>
        </w:rPr>
        <w:t xml:space="preserve"> </w:t>
      </w:r>
      <w:r w:rsidRPr="005C17F1">
        <w:rPr>
          <w:i/>
          <w:sz w:val="22"/>
          <w:szCs w:val="22"/>
        </w:rPr>
        <w:t>public phone directory, course catalogs, public research findings, enrollment figures, public web sites, general benefits data, press releases, newsletters, etc.</w:t>
      </w:r>
    </w:p>
    <w:p w14:paraId="64C96C2D" w14:textId="77777777" w:rsidR="00EF7554" w:rsidRPr="005C17F1" w:rsidRDefault="00EF7554" w:rsidP="00A55B26">
      <w:pPr>
        <w:rPr>
          <w:sz w:val="22"/>
          <w:szCs w:val="22"/>
        </w:rPr>
      </w:pPr>
    </w:p>
    <w:p w14:paraId="152201BE" w14:textId="18733D6D" w:rsidR="001831C8" w:rsidRPr="005C17F1" w:rsidRDefault="00451D77" w:rsidP="00A55B26">
      <w:pPr>
        <w:pStyle w:val="ListParagraph"/>
        <w:numPr>
          <w:ilvl w:val="0"/>
          <w:numId w:val="1"/>
        </w:numPr>
        <w:spacing w:before="120"/>
        <w:ind w:left="360"/>
        <w:rPr>
          <w:sz w:val="22"/>
          <w:szCs w:val="22"/>
        </w:rPr>
      </w:pPr>
      <w:r w:rsidRPr="005C17F1">
        <w:rPr>
          <w:b/>
          <w:sz w:val="22"/>
          <w:szCs w:val="22"/>
        </w:rPr>
        <w:t>Sensitive Data:</w:t>
      </w:r>
      <w:r w:rsidR="002D7150" w:rsidRPr="005C17F1">
        <w:rPr>
          <w:b/>
          <w:sz w:val="22"/>
          <w:szCs w:val="22"/>
        </w:rPr>
        <w:t xml:space="preserve">  </w:t>
      </w:r>
      <w:r w:rsidR="00482054" w:rsidRPr="005C17F1">
        <w:rPr>
          <w:sz w:val="22"/>
          <w:szCs w:val="22"/>
        </w:rPr>
        <w:t>This</w:t>
      </w:r>
      <w:r w:rsidR="00482054" w:rsidRPr="005C17F1">
        <w:rPr>
          <w:b/>
          <w:sz w:val="22"/>
          <w:szCs w:val="22"/>
        </w:rPr>
        <w:t xml:space="preserve"> </w:t>
      </w:r>
      <w:r w:rsidR="00482054" w:rsidRPr="005C17F1">
        <w:rPr>
          <w:sz w:val="22"/>
          <w:szCs w:val="22"/>
        </w:rPr>
        <w:t xml:space="preserve">data classification is for data that is moderate risk because it </w:t>
      </w:r>
      <w:r w:rsidRPr="005C17F1">
        <w:rPr>
          <w:sz w:val="22"/>
          <w:szCs w:val="22"/>
        </w:rPr>
        <w:t xml:space="preserve">should be kept confidential. </w:t>
      </w:r>
      <w:r w:rsidR="00097B83" w:rsidRPr="005C17F1">
        <w:rPr>
          <w:sz w:val="22"/>
          <w:szCs w:val="22"/>
        </w:rPr>
        <w:t xml:space="preserve">The loss of the data’s confidentiality, integrity or availability </w:t>
      </w:r>
      <w:r w:rsidR="00097B83" w:rsidRPr="005C17F1">
        <w:rPr>
          <w:b/>
          <w:sz w:val="22"/>
          <w:szCs w:val="22"/>
          <w:u w:val="single"/>
        </w:rPr>
        <w:t>could</w:t>
      </w:r>
      <w:r w:rsidR="00097B83" w:rsidRPr="005C17F1">
        <w:rPr>
          <w:sz w:val="22"/>
          <w:szCs w:val="22"/>
        </w:rPr>
        <w:t xml:space="preserve"> cause harm to UAB’s mission, safety, </w:t>
      </w:r>
      <w:proofErr w:type="gramStart"/>
      <w:r w:rsidR="00097B83" w:rsidRPr="005C17F1">
        <w:rPr>
          <w:sz w:val="22"/>
          <w:szCs w:val="22"/>
        </w:rPr>
        <w:t>finances</w:t>
      </w:r>
      <w:proofErr w:type="gramEnd"/>
      <w:r w:rsidR="00097B83" w:rsidRPr="005C17F1">
        <w:rPr>
          <w:sz w:val="22"/>
          <w:szCs w:val="22"/>
        </w:rPr>
        <w:t xml:space="preserve"> or reputation.  </w:t>
      </w:r>
      <w:r w:rsidR="001831C8" w:rsidRPr="005C17F1">
        <w:rPr>
          <w:sz w:val="22"/>
          <w:szCs w:val="22"/>
        </w:rPr>
        <w:t xml:space="preserve">Privacy may </w:t>
      </w:r>
      <w:r w:rsidR="002D7150" w:rsidRPr="005C17F1">
        <w:rPr>
          <w:sz w:val="22"/>
          <w:szCs w:val="22"/>
        </w:rPr>
        <w:t>be required by law or contract.</w:t>
      </w:r>
      <w:r w:rsidR="00482054" w:rsidRPr="005C17F1">
        <w:rPr>
          <w:sz w:val="22"/>
          <w:szCs w:val="22"/>
        </w:rPr>
        <w:t xml:space="preserve">  Access to these data shall require authorization and legitimate need-to-know.</w:t>
      </w:r>
    </w:p>
    <w:p w14:paraId="01CF0CEB" w14:textId="31046311" w:rsidR="00451D77" w:rsidRPr="005C17F1" w:rsidRDefault="00451D77" w:rsidP="00A55B26">
      <w:pPr>
        <w:spacing w:before="120"/>
        <w:ind w:left="360"/>
        <w:rPr>
          <w:sz w:val="22"/>
          <w:szCs w:val="22"/>
        </w:rPr>
      </w:pPr>
      <w:r w:rsidRPr="005C17F1">
        <w:rPr>
          <w:sz w:val="22"/>
          <w:szCs w:val="22"/>
          <w:u w:val="single"/>
        </w:rPr>
        <w:t>Examples</w:t>
      </w:r>
      <w:r w:rsidR="00D501E5" w:rsidRPr="005C17F1">
        <w:rPr>
          <w:sz w:val="22"/>
          <w:szCs w:val="22"/>
          <w:u w:val="single"/>
        </w:rPr>
        <w:t xml:space="preserve"> include but are not limited to</w:t>
      </w:r>
      <w:r w:rsidRPr="005C17F1">
        <w:rPr>
          <w:sz w:val="22"/>
          <w:szCs w:val="22"/>
          <w:u w:val="single"/>
        </w:rPr>
        <w:t>:</w:t>
      </w:r>
      <w:r w:rsidR="002D7150" w:rsidRPr="005C17F1">
        <w:rPr>
          <w:sz w:val="22"/>
          <w:szCs w:val="22"/>
          <w:u w:val="single"/>
        </w:rPr>
        <w:t xml:space="preserve"> </w:t>
      </w:r>
      <w:r w:rsidRPr="005C17F1">
        <w:rPr>
          <w:i/>
          <w:sz w:val="22"/>
          <w:szCs w:val="22"/>
        </w:rPr>
        <w:t>FERPA, budgetary plans, proprietary business plans, patent pending information</w:t>
      </w:r>
      <w:r w:rsidR="002D7150" w:rsidRPr="005C17F1">
        <w:rPr>
          <w:i/>
          <w:sz w:val="22"/>
          <w:szCs w:val="22"/>
        </w:rPr>
        <w:t>,</w:t>
      </w:r>
      <w:r w:rsidRPr="005C17F1">
        <w:rPr>
          <w:i/>
          <w:sz w:val="22"/>
          <w:szCs w:val="22"/>
        </w:rPr>
        <w:t xml:space="preserve"> and data protected by law.</w:t>
      </w:r>
    </w:p>
    <w:p w14:paraId="69FFDBDB" w14:textId="77777777" w:rsidR="00EF7554" w:rsidRPr="005C17F1" w:rsidRDefault="00EF7554" w:rsidP="00A55B26">
      <w:pPr>
        <w:rPr>
          <w:sz w:val="22"/>
          <w:szCs w:val="22"/>
        </w:rPr>
      </w:pPr>
    </w:p>
    <w:p w14:paraId="7F2F4CD7" w14:textId="5BE1C889" w:rsidR="00451D77" w:rsidRPr="005C17F1" w:rsidRDefault="00451D77" w:rsidP="00A55B26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5C17F1">
        <w:rPr>
          <w:b/>
          <w:sz w:val="22"/>
          <w:szCs w:val="22"/>
        </w:rPr>
        <w:t>Restricted/PHI Data:</w:t>
      </w:r>
      <w:r w:rsidR="002D7150" w:rsidRPr="005C17F1">
        <w:rPr>
          <w:b/>
          <w:sz w:val="22"/>
          <w:szCs w:val="22"/>
        </w:rPr>
        <w:t xml:space="preserve">  </w:t>
      </w:r>
      <w:r w:rsidR="00097B83" w:rsidRPr="005C17F1">
        <w:rPr>
          <w:sz w:val="22"/>
          <w:szCs w:val="22"/>
        </w:rPr>
        <w:t>This data classification is for data that is high risk because it is s</w:t>
      </w:r>
      <w:r w:rsidRPr="005C17F1">
        <w:rPr>
          <w:sz w:val="22"/>
          <w:szCs w:val="22"/>
        </w:rPr>
        <w:t xml:space="preserve">ensitive </w:t>
      </w:r>
      <w:r w:rsidR="00097B83" w:rsidRPr="005C17F1">
        <w:rPr>
          <w:sz w:val="22"/>
          <w:szCs w:val="22"/>
        </w:rPr>
        <w:t xml:space="preserve">data that is </w:t>
      </w:r>
      <w:proofErr w:type="gramStart"/>
      <w:r w:rsidR="00097B83" w:rsidRPr="005C17F1">
        <w:rPr>
          <w:sz w:val="22"/>
          <w:szCs w:val="22"/>
        </w:rPr>
        <w:t>highly-confidential</w:t>
      </w:r>
      <w:proofErr w:type="gramEnd"/>
      <w:r w:rsidR="00386CEF" w:rsidRPr="005C17F1">
        <w:rPr>
          <w:sz w:val="22"/>
          <w:szCs w:val="22"/>
        </w:rPr>
        <w:t xml:space="preserve"> in nature</w:t>
      </w:r>
      <w:r w:rsidR="00097B83" w:rsidRPr="005C17F1">
        <w:rPr>
          <w:sz w:val="22"/>
          <w:szCs w:val="22"/>
        </w:rPr>
        <w:t xml:space="preserve">.  </w:t>
      </w:r>
      <w:r w:rsidR="00386CEF" w:rsidRPr="005C17F1">
        <w:rPr>
          <w:sz w:val="22"/>
          <w:szCs w:val="22"/>
        </w:rPr>
        <w:t xml:space="preserve">The loss of the data’s confidentiality, integrity or availability </w:t>
      </w:r>
      <w:r w:rsidR="00386CEF" w:rsidRPr="005C17F1">
        <w:rPr>
          <w:b/>
          <w:sz w:val="22"/>
          <w:szCs w:val="22"/>
          <w:u w:val="single"/>
        </w:rPr>
        <w:t>would</w:t>
      </w:r>
      <w:r w:rsidR="00386CEF" w:rsidRPr="005C17F1">
        <w:rPr>
          <w:sz w:val="22"/>
          <w:szCs w:val="22"/>
        </w:rPr>
        <w:t xml:space="preserve"> cause harm to UAB’s mission, safety, </w:t>
      </w:r>
      <w:proofErr w:type="gramStart"/>
      <w:r w:rsidR="00386CEF" w:rsidRPr="005C17F1">
        <w:rPr>
          <w:sz w:val="22"/>
          <w:szCs w:val="22"/>
        </w:rPr>
        <w:t>finances</w:t>
      </w:r>
      <w:proofErr w:type="gramEnd"/>
      <w:r w:rsidR="00386CEF" w:rsidRPr="005C17F1">
        <w:rPr>
          <w:sz w:val="22"/>
          <w:szCs w:val="22"/>
        </w:rPr>
        <w:t xml:space="preserve"> or reputation.  </w:t>
      </w:r>
      <w:r w:rsidRPr="005C17F1">
        <w:rPr>
          <w:sz w:val="22"/>
          <w:szCs w:val="22"/>
        </w:rPr>
        <w:t xml:space="preserve">Privacy and Security are typically required by </w:t>
      </w:r>
      <w:r w:rsidR="00D334EF" w:rsidRPr="005C17F1">
        <w:rPr>
          <w:sz w:val="22"/>
          <w:szCs w:val="22"/>
        </w:rPr>
        <w:t xml:space="preserve">law </w:t>
      </w:r>
      <w:r w:rsidRPr="005C17F1">
        <w:rPr>
          <w:sz w:val="22"/>
          <w:szCs w:val="22"/>
        </w:rPr>
        <w:t xml:space="preserve">or </w:t>
      </w:r>
      <w:r w:rsidR="00D334EF" w:rsidRPr="005C17F1">
        <w:rPr>
          <w:sz w:val="22"/>
          <w:szCs w:val="22"/>
        </w:rPr>
        <w:t>contract</w:t>
      </w:r>
      <w:r w:rsidRPr="005C17F1">
        <w:rPr>
          <w:sz w:val="22"/>
          <w:szCs w:val="22"/>
        </w:rPr>
        <w:t>.</w:t>
      </w:r>
    </w:p>
    <w:p w14:paraId="7E511390" w14:textId="5EB271BC" w:rsidR="00EF7554" w:rsidRPr="005C17F1" w:rsidRDefault="00451D77" w:rsidP="00A55B26">
      <w:pPr>
        <w:spacing w:before="120"/>
        <w:ind w:left="360"/>
        <w:rPr>
          <w:sz w:val="22"/>
          <w:szCs w:val="22"/>
        </w:rPr>
      </w:pPr>
      <w:r w:rsidRPr="005C17F1">
        <w:rPr>
          <w:sz w:val="22"/>
          <w:szCs w:val="22"/>
          <w:u w:val="single"/>
        </w:rPr>
        <w:lastRenderedPageBreak/>
        <w:t>Examples</w:t>
      </w:r>
      <w:r w:rsidR="00D501E5" w:rsidRPr="005C17F1">
        <w:rPr>
          <w:sz w:val="22"/>
          <w:szCs w:val="22"/>
          <w:u w:val="single"/>
        </w:rPr>
        <w:t xml:space="preserve"> include but are not limited to</w:t>
      </w:r>
      <w:r w:rsidRPr="005C17F1">
        <w:rPr>
          <w:sz w:val="22"/>
          <w:szCs w:val="22"/>
          <w:u w:val="single"/>
        </w:rPr>
        <w:t>:</w:t>
      </w:r>
      <w:r w:rsidR="002D7150" w:rsidRPr="005C17F1">
        <w:rPr>
          <w:sz w:val="22"/>
          <w:szCs w:val="22"/>
        </w:rPr>
        <w:t xml:space="preserve"> </w:t>
      </w:r>
      <w:r w:rsidR="00FA2F5B" w:rsidRPr="005C17F1">
        <w:rPr>
          <w:sz w:val="22"/>
          <w:szCs w:val="22"/>
        </w:rPr>
        <w:t>HIP</w:t>
      </w:r>
      <w:r w:rsidR="001831C8" w:rsidRPr="005C17F1">
        <w:rPr>
          <w:sz w:val="22"/>
          <w:szCs w:val="22"/>
        </w:rPr>
        <w:t>A</w:t>
      </w:r>
      <w:r w:rsidR="00FA2F5B" w:rsidRPr="005C17F1">
        <w:rPr>
          <w:sz w:val="22"/>
          <w:szCs w:val="22"/>
        </w:rPr>
        <w:t>A</w:t>
      </w:r>
      <w:r w:rsidR="000B5976" w:rsidRPr="005C17F1">
        <w:rPr>
          <w:sz w:val="22"/>
          <w:szCs w:val="22"/>
        </w:rPr>
        <w:t>,</w:t>
      </w:r>
      <w:r w:rsidR="00FA2F5B" w:rsidRPr="005C17F1">
        <w:rPr>
          <w:sz w:val="22"/>
          <w:szCs w:val="22"/>
        </w:rPr>
        <w:t xml:space="preserve"> PHI, </w:t>
      </w:r>
      <w:r w:rsidRPr="005C17F1">
        <w:rPr>
          <w:sz w:val="22"/>
          <w:szCs w:val="22"/>
        </w:rPr>
        <w:t>Social Security Numbers, credit card numbers (PCI</w:t>
      </w:r>
      <w:r w:rsidR="00E728D1" w:rsidRPr="005C17F1">
        <w:rPr>
          <w:sz w:val="22"/>
          <w:szCs w:val="22"/>
        </w:rPr>
        <w:t xml:space="preserve"> DSS</w:t>
      </w:r>
      <w:r w:rsidRPr="005C17F1">
        <w:rPr>
          <w:sz w:val="22"/>
          <w:szCs w:val="22"/>
        </w:rPr>
        <w:t xml:space="preserve">), GLBA data, Export Controlled data, FISMA regulated data, </w:t>
      </w:r>
      <w:r w:rsidR="002D7150" w:rsidRPr="005C17F1">
        <w:rPr>
          <w:sz w:val="22"/>
          <w:szCs w:val="22"/>
        </w:rPr>
        <w:t>login</w:t>
      </w:r>
      <w:r w:rsidRPr="005C17F1">
        <w:rPr>
          <w:sz w:val="22"/>
          <w:szCs w:val="22"/>
        </w:rPr>
        <w:t xml:space="preserve"> credentials, and information protected by non-disclosure agreements.</w:t>
      </w:r>
      <w:r w:rsidR="00A20DF9" w:rsidRPr="005C17F1">
        <w:rPr>
          <w:sz w:val="22"/>
          <w:szCs w:val="22"/>
        </w:rPr>
        <w:t xml:space="preserve"> </w:t>
      </w:r>
    </w:p>
    <w:p w14:paraId="47511780" w14:textId="77777777" w:rsidR="00CE71AF" w:rsidRDefault="00CE71AF" w:rsidP="00986511">
      <w:pPr>
        <w:spacing w:before="120"/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365" w:type="dxa"/>
        <w:shd w:val="clear" w:color="auto" w:fill="D9D9D9" w:themeFill="background1" w:themeFillShade="D9"/>
        <w:tblLook w:val="0480" w:firstRow="0" w:lastRow="0" w:firstColumn="1" w:lastColumn="0" w:noHBand="0" w:noVBand="1"/>
      </w:tblPr>
      <w:tblGrid>
        <w:gridCol w:w="8985"/>
      </w:tblGrid>
      <w:tr w:rsidR="00CE71AF" w14:paraId="10E7E3EA" w14:textId="77777777" w:rsidTr="00CE71AF">
        <w:tc>
          <w:tcPr>
            <w:tcW w:w="8985" w:type="dxa"/>
            <w:shd w:val="clear" w:color="auto" w:fill="D9D9D9" w:themeFill="background1" w:themeFillShade="D9"/>
          </w:tcPr>
          <w:p w14:paraId="695F87C1" w14:textId="465F745D" w:rsidR="00CE71AF" w:rsidRDefault="00CE71AF" w:rsidP="00DB6BD2">
            <w:pPr>
              <w:spacing w:after="120"/>
              <w:jc w:val="both"/>
              <w:rPr>
                <w:b/>
              </w:rPr>
            </w:pPr>
            <w:r w:rsidRPr="00472769">
              <w:rPr>
                <w:b/>
                <w:bCs/>
              </w:rPr>
              <w:t>Note regarding Classification of Research Data</w:t>
            </w:r>
            <w:r w:rsidRPr="00472769">
              <w:t xml:space="preserve"> –</w:t>
            </w:r>
            <w:r w:rsidRPr="005C7CF2">
              <w:t>The classification of research data depends on several factors</w:t>
            </w:r>
            <w:r>
              <w:t xml:space="preserve"> that can and often do change as research progresses. </w:t>
            </w:r>
            <w:r w:rsidRPr="00472769">
              <w:t>It is incumbent upon the Researcher to know the type of data, the circumstances governing the data, and classify it accordingly.</w:t>
            </w:r>
            <w:r>
              <w:t xml:space="preserve">  </w:t>
            </w:r>
            <w:hyperlink r:id="rId15" w:anchor="s_4-0" w:history="1">
              <w:r w:rsidR="00DB6BD2" w:rsidRPr="00DB6BD2">
                <w:rPr>
                  <w:rStyle w:val="Hyperlink"/>
                </w:rPr>
                <w:t>More information</w:t>
              </w:r>
            </w:hyperlink>
            <w:r w:rsidR="00DB6BD2">
              <w:t>.</w:t>
            </w:r>
          </w:p>
        </w:tc>
      </w:tr>
    </w:tbl>
    <w:p w14:paraId="08C772A5" w14:textId="77777777" w:rsidR="00CE71AF" w:rsidRDefault="00CE71AF" w:rsidP="00CE71AF">
      <w:pPr>
        <w:spacing w:before="120"/>
        <w:rPr>
          <w:sz w:val="22"/>
          <w:szCs w:val="22"/>
        </w:rPr>
      </w:pPr>
    </w:p>
    <w:p w14:paraId="49705B59" w14:textId="3A15860E" w:rsidR="00CE71AF" w:rsidRDefault="00CE71AF" w:rsidP="00CE71AF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Responsibilities for Protection and Security of these data may be found in the </w:t>
      </w:r>
      <w:hyperlink r:id="rId16" w:history="1">
        <w:r w:rsidRPr="007120F4">
          <w:rPr>
            <w:rStyle w:val="Hyperlink"/>
            <w:rFonts w:eastAsia="Times New Roman" w:cs="Arial"/>
            <w:sz w:val="22"/>
            <w:szCs w:val="22"/>
          </w:rPr>
          <w:t>Data Protection and Security Policy</w:t>
        </w:r>
      </w:hyperlink>
      <w:r>
        <w:rPr>
          <w:rFonts w:eastAsia="Times New Roman" w:cs="Arial"/>
          <w:color w:val="0070C0"/>
          <w:sz w:val="22"/>
          <w:szCs w:val="22"/>
          <w:u w:val="single"/>
        </w:rPr>
        <w:t>.</w:t>
      </w:r>
    </w:p>
    <w:p w14:paraId="114D62B4" w14:textId="41AAF04A" w:rsidR="00572B0D" w:rsidRDefault="000E6910" w:rsidP="00A55B26">
      <w:pPr>
        <w:spacing w:before="120"/>
        <w:ind w:right="720"/>
        <w:rPr>
          <w:sz w:val="22"/>
          <w:szCs w:val="22"/>
        </w:rPr>
      </w:pPr>
      <w:r w:rsidRPr="00BE5E88">
        <w:rPr>
          <w:sz w:val="22"/>
          <w:szCs w:val="22"/>
        </w:rPr>
        <w:t xml:space="preserve">* Abbreviations Used:  </w:t>
      </w:r>
      <w:r w:rsidRPr="00BE5E88">
        <w:rPr>
          <w:i/>
          <w:sz w:val="22"/>
          <w:szCs w:val="22"/>
        </w:rPr>
        <w:t>FERPA (Family Educational Rights and Privacy Act), HIPPA (Health Insurance Portability and Accountability Act) PHI (protected health information), PCI DSS (Payment Card Industry Data Security Standard), GLBA (Gramm-Leach-Bliley Act) and FISMA (Federal Information Security Management Act)</w:t>
      </w:r>
    </w:p>
    <w:p w14:paraId="777FED9C" w14:textId="77777777" w:rsidR="00572B0D" w:rsidRPr="00572B0D" w:rsidRDefault="00572B0D" w:rsidP="00572B0D">
      <w:pPr>
        <w:rPr>
          <w:sz w:val="22"/>
          <w:szCs w:val="22"/>
        </w:rPr>
      </w:pPr>
    </w:p>
    <w:p w14:paraId="68BB5D4B" w14:textId="77777777" w:rsidR="00572B0D" w:rsidRPr="00572B0D" w:rsidRDefault="00572B0D" w:rsidP="00572B0D">
      <w:pPr>
        <w:rPr>
          <w:sz w:val="22"/>
          <w:szCs w:val="22"/>
        </w:rPr>
      </w:pPr>
    </w:p>
    <w:p w14:paraId="12D1525F" w14:textId="3FF322EB" w:rsidR="00572B0D" w:rsidRDefault="00572B0D" w:rsidP="00572B0D">
      <w:pPr>
        <w:rPr>
          <w:sz w:val="22"/>
          <w:szCs w:val="22"/>
        </w:rPr>
      </w:pPr>
    </w:p>
    <w:p w14:paraId="4AA2D2F3" w14:textId="44D2DEB2" w:rsidR="002D7150" w:rsidRDefault="002D7150" w:rsidP="002D7150">
      <w:pPr>
        <w:rPr>
          <w:rFonts w:cs="Arial"/>
          <w:b/>
        </w:rPr>
      </w:pPr>
      <w:r>
        <w:rPr>
          <w:rFonts w:cs="Arial"/>
          <w:b/>
        </w:rPr>
        <w:t>Change History:</w:t>
      </w:r>
    </w:p>
    <w:p w14:paraId="68B6344B" w14:textId="77777777" w:rsidR="002D7150" w:rsidRDefault="002D7150" w:rsidP="002D7150">
      <w:pPr>
        <w:rPr>
          <w:rFonts w:cs="Arial"/>
          <w:b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984"/>
        <w:gridCol w:w="5131"/>
        <w:gridCol w:w="1968"/>
        <w:gridCol w:w="1182"/>
      </w:tblGrid>
      <w:tr w:rsidR="00FB648B" w14:paraId="5F8E7704" w14:textId="49370076" w:rsidTr="00FB648B">
        <w:trPr>
          <w:trHeight w:val="377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307F4E7" w14:textId="6473995F" w:rsidR="00FB648B" w:rsidRDefault="00FB648B" w:rsidP="00FB648B">
            <w:pPr>
              <w:spacing w:after="200" w:line="276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Revision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D91DB14" w14:textId="406C3439" w:rsidR="00FB648B" w:rsidRDefault="00FB648B" w:rsidP="00FB648B">
            <w:pPr>
              <w:spacing w:after="200" w:line="276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DD4346D" w14:textId="23EED6A6" w:rsidR="00FB648B" w:rsidRDefault="00FB648B" w:rsidP="00FB648B">
            <w:pPr>
              <w:spacing w:after="200" w:line="276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Approval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E198509" w14:textId="78B5921B" w:rsidR="00FB648B" w:rsidRDefault="00FB648B" w:rsidP="00FB648B">
            <w:pPr>
              <w:spacing w:after="200" w:line="276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FB648B" w14:paraId="45E3AE68" w14:textId="270DF534" w:rsidTr="00FB648B">
        <w:trPr>
          <w:trHeight w:val="431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0C781" w14:textId="550C63C9" w:rsidR="00FB648B" w:rsidRDefault="00FB648B" w:rsidP="00FB64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6175" w14:textId="78C9F390" w:rsidR="00FB648B" w:rsidRDefault="00FB648B" w:rsidP="00FB648B">
            <w:pPr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Final version – approved by President Watts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CE17A" w14:textId="104CCE57" w:rsidR="00FB648B" w:rsidRDefault="00FB648B" w:rsidP="00FB64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Ray Watts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48476" w14:textId="68B2FE2E" w:rsidR="00FB648B" w:rsidRDefault="00FB648B" w:rsidP="00FB648B">
            <w:pPr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2/22/2017</w:t>
            </w:r>
          </w:p>
        </w:tc>
      </w:tr>
      <w:tr w:rsidR="00FB648B" w14:paraId="441314F6" w14:textId="70047639" w:rsidTr="00FB648B">
        <w:trPr>
          <w:trHeight w:val="431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F4B5C" w14:textId="0BB93CB3" w:rsidR="00FB648B" w:rsidRDefault="00FB648B" w:rsidP="00FB64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D7ABE" w14:textId="4763BDB2" w:rsidR="00FB648B" w:rsidRDefault="00FB648B" w:rsidP="00FB64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Added specific related policies, rules &amp; guidance - </w:t>
            </w:r>
            <w:r w:rsidRPr="002D7150">
              <w:rPr>
                <w:rFonts w:cs="Arial"/>
                <w:sz w:val="20"/>
                <w:szCs w:val="20"/>
              </w:rPr>
              <w:t>Data Protection and Security Policy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2D7150">
              <w:rPr>
                <w:rFonts w:cs="Arial"/>
                <w:sz w:val="20"/>
                <w:szCs w:val="20"/>
              </w:rPr>
              <w:t>Data Access Policy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2D7150">
              <w:rPr>
                <w:rFonts w:cs="Arial"/>
                <w:sz w:val="20"/>
                <w:szCs w:val="20"/>
              </w:rPr>
              <w:t>Acceptable Use Policy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2D7150">
              <w:rPr>
                <w:rFonts w:cs="Arial"/>
                <w:sz w:val="20"/>
                <w:szCs w:val="20"/>
              </w:rPr>
              <w:t>Data Protection Rule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Pr="002D7150">
              <w:rPr>
                <w:rFonts w:cs="Arial"/>
                <w:sz w:val="20"/>
                <w:szCs w:val="20"/>
              </w:rPr>
              <w:t>Data custodian responsibilities</w:t>
            </w:r>
          </w:p>
          <w:p w14:paraId="53000D82" w14:textId="50BB9584" w:rsidR="00FB648B" w:rsidRDefault="00FB648B" w:rsidP="00FB64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Removed </w:t>
            </w:r>
            <w:proofErr w:type="gramStart"/>
            <w:r>
              <w:rPr>
                <w:rFonts w:cs="Arial"/>
                <w:sz w:val="20"/>
                <w:szCs w:val="20"/>
              </w:rPr>
              <w:t>export controlled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information and internal communications from examples under Sensitive Data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18DF" w14:textId="64028BD7" w:rsidR="00FB648B" w:rsidRDefault="00FB648B" w:rsidP="00FB648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85187" w14:textId="35CE2BF7" w:rsidR="00FB648B" w:rsidRDefault="00FB648B" w:rsidP="00FB64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12/15/2017</w:t>
            </w:r>
          </w:p>
        </w:tc>
      </w:tr>
      <w:tr w:rsidR="00FB648B" w14:paraId="06BF3024" w14:textId="048FDAA7" w:rsidTr="00FB648B">
        <w:trPr>
          <w:trHeight w:val="431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2D3B7" w14:textId="71B4A192" w:rsidR="00FB648B" w:rsidRDefault="00FB648B" w:rsidP="00FB648B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136E" w14:textId="7B1F109E" w:rsidR="00FB648B" w:rsidRDefault="00FB648B" w:rsidP="00FB64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  <w:szCs w:val="18"/>
              </w:rPr>
              <w:t>Reviewed - no changes/updates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3544" w14:textId="07925270" w:rsidR="00FB648B" w:rsidRDefault="00FB648B" w:rsidP="00FB648B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3F2E4" w14:textId="37649FE1" w:rsidR="00FB648B" w:rsidRDefault="00FB648B" w:rsidP="00FB648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>6/4/20</w:t>
            </w:r>
            <w:r w:rsidR="00734C00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8</w:t>
            </w:r>
          </w:p>
        </w:tc>
      </w:tr>
      <w:tr w:rsidR="00FB648B" w14:paraId="1BCEB082" w14:textId="02D0F294" w:rsidTr="00FB648B">
        <w:trPr>
          <w:trHeight w:val="431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D1DCD" w14:textId="41828ADB" w:rsidR="00FB648B" w:rsidRDefault="00FB648B" w:rsidP="00FB648B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9235F" w14:textId="53A50F61" w:rsidR="00FB648B" w:rsidRDefault="00FB648B" w:rsidP="00FB648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Reviewed - no changes/updates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4914" w14:textId="6D927C7C" w:rsidR="00FB648B" w:rsidRDefault="00FB648B" w:rsidP="00FB648B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6BE9E" w14:textId="11FCDB56" w:rsidR="00FB648B" w:rsidRDefault="00FB648B" w:rsidP="00FB648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>6/3/20</w:t>
            </w:r>
            <w:r w:rsidR="00734C00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9</w:t>
            </w:r>
          </w:p>
        </w:tc>
      </w:tr>
      <w:tr w:rsidR="00FB648B" w14:paraId="630EDF57" w14:textId="619951F1" w:rsidTr="00FB648B">
        <w:trPr>
          <w:trHeight w:val="1043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10577" w14:textId="620F4289" w:rsidR="00FB648B" w:rsidRDefault="00FB648B" w:rsidP="00FB648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2.0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DB03" w14:textId="247CCC19" w:rsidR="00FB648B" w:rsidRDefault="00FB648B" w:rsidP="00FB648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Updated links to Data Protection Rule and Data custodian responsibilities</w:t>
            </w:r>
          </w:p>
          <w:p w14:paraId="04A596B0" w14:textId="711289E9" w:rsidR="00FB648B" w:rsidRDefault="00FB648B" w:rsidP="00FB648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Updated link to more information on research data</w:t>
            </w:r>
          </w:p>
          <w:p w14:paraId="38D8750A" w14:textId="64F84BB2" w:rsidR="00FB648B" w:rsidRDefault="00FB648B" w:rsidP="00FB648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Further defined the classification levels in terms of risk to help the UAB community’s understanding.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9B96E" w14:textId="56B8270C" w:rsidR="00FB648B" w:rsidRDefault="00FB648B" w:rsidP="00FB648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Dr. Curt Carver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9691C" w14:textId="06C57E0A" w:rsidR="00FB648B" w:rsidRPr="00734C00" w:rsidRDefault="005C17F1" w:rsidP="00FB648B">
            <w:pPr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6/28/2021</w:t>
            </w:r>
          </w:p>
        </w:tc>
      </w:tr>
    </w:tbl>
    <w:p w14:paraId="35A4EB05" w14:textId="144BF521" w:rsidR="000E6910" w:rsidRPr="00572B0D" w:rsidRDefault="000E6910" w:rsidP="00572B0D">
      <w:pPr>
        <w:tabs>
          <w:tab w:val="left" w:pos="4020"/>
        </w:tabs>
        <w:rPr>
          <w:sz w:val="22"/>
          <w:szCs w:val="22"/>
        </w:rPr>
      </w:pPr>
    </w:p>
    <w:sectPr w:rsidR="000E6910" w:rsidRPr="00572B0D" w:rsidSect="00A96982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6D8F1" w14:textId="77777777" w:rsidR="000A17B8" w:rsidRDefault="000A17B8" w:rsidP="007D0F38">
      <w:r>
        <w:separator/>
      </w:r>
    </w:p>
  </w:endnote>
  <w:endnote w:type="continuationSeparator" w:id="0">
    <w:p w14:paraId="1F663EF3" w14:textId="77777777" w:rsidR="000A17B8" w:rsidRDefault="000A17B8" w:rsidP="007D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450287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32950" w14:textId="7349D32D" w:rsidR="000E6910" w:rsidRPr="003645B9" w:rsidRDefault="000E6910">
        <w:pPr>
          <w:pStyle w:val="Footer"/>
          <w:rPr>
            <w:sz w:val="18"/>
            <w:szCs w:val="18"/>
          </w:rPr>
        </w:pPr>
        <w:r w:rsidRPr="0093397E">
          <w:rPr>
            <w:sz w:val="18"/>
            <w:szCs w:val="18"/>
          </w:rPr>
          <w:t xml:space="preserve">Data </w:t>
        </w:r>
        <w:r>
          <w:rPr>
            <w:sz w:val="18"/>
            <w:szCs w:val="18"/>
          </w:rPr>
          <w:t>Classification</w:t>
        </w:r>
        <w:r w:rsidRPr="0093397E">
          <w:rPr>
            <w:sz w:val="18"/>
            <w:szCs w:val="18"/>
          </w:rPr>
          <w:t xml:space="preserve"> Policy</w:t>
        </w:r>
        <w:r w:rsidR="00FB648B">
          <w:rPr>
            <w:sz w:val="18"/>
            <w:szCs w:val="18"/>
          </w:rPr>
          <w:t xml:space="preserve"> v2.0</w:t>
        </w:r>
        <w:r w:rsidRPr="0093397E">
          <w:rPr>
            <w:sz w:val="18"/>
            <w:szCs w:val="18"/>
          </w:rPr>
          <w:tab/>
        </w:r>
        <w:r w:rsidRPr="0093397E">
          <w:rPr>
            <w:sz w:val="18"/>
            <w:szCs w:val="18"/>
          </w:rPr>
          <w:tab/>
        </w:r>
        <w:r w:rsidRPr="0093397E">
          <w:rPr>
            <w:sz w:val="18"/>
            <w:szCs w:val="18"/>
          </w:rPr>
          <w:fldChar w:fldCharType="begin"/>
        </w:r>
        <w:r w:rsidRPr="0093397E">
          <w:rPr>
            <w:sz w:val="18"/>
            <w:szCs w:val="18"/>
          </w:rPr>
          <w:instrText xml:space="preserve"> PAGE   \* MERGEFORMAT </w:instrText>
        </w:r>
        <w:r w:rsidRPr="0093397E">
          <w:rPr>
            <w:sz w:val="18"/>
            <w:szCs w:val="18"/>
          </w:rPr>
          <w:fldChar w:fldCharType="separate"/>
        </w:r>
        <w:r w:rsidR="0081425B">
          <w:rPr>
            <w:noProof/>
            <w:sz w:val="18"/>
            <w:szCs w:val="18"/>
          </w:rPr>
          <w:t>2</w:t>
        </w:r>
        <w:r w:rsidRPr="0093397E">
          <w:rPr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E4A8E" w14:textId="77777777" w:rsidR="000A17B8" w:rsidRDefault="000A17B8" w:rsidP="007D0F38">
      <w:r>
        <w:separator/>
      </w:r>
    </w:p>
  </w:footnote>
  <w:footnote w:type="continuationSeparator" w:id="0">
    <w:p w14:paraId="5B3050BD" w14:textId="77777777" w:rsidR="000A17B8" w:rsidRDefault="000A17B8" w:rsidP="007D0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938A" w14:textId="798CB9C5" w:rsidR="000E6910" w:rsidRDefault="000A17B8">
    <w:pPr>
      <w:pStyle w:val="Header"/>
    </w:pPr>
    <w:r>
      <w:rPr>
        <w:noProof/>
      </w:rPr>
      <w:pict w14:anchorId="133649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alt="" style="position:absolute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B394" w14:textId="187E471A" w:rsidR="007D0F38" w:rsidRPr="00A44BD2" w:rsidRDefault="007D0F38" w:rsidP="007D0F38">
    <w:pPr>
      <w:rPr>
        <w:b/>
      </w:rPr>
    </w:pPr>
  </w:p>
  <w:p w14:paraId="61869ABA" w14:textId="16528642" w:rsidR="007D0F38" w:rsidRDefault="007D0F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41C1" w14:textId="62DCC131" w:rsidR="000E6910" w:rsidRDefault="000A17B8">
    <w:pPr>
      <w:pStyle w:val="Header"/>
    </w:pPr>
    <w:r>
      <w:rPr>
        <w:noProof/>
      </w:rPr>
      <w:pict w14:anchorId="6DB3AA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A6D82"/>
    <w:multiLevelType w:val="hybridMultilevel"/>
    <w:tmpl w:val="54DCF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13F80"/>
    <w:multiLevelType w:val="hybridMultilevel"/>
    <w:tmpl w:val="958E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D77"/>
    <w:rsid w:val="00017314"/>
    <w:rsid w:val="000265BF"/>
    <w:rsid w:val="00097B83"/>
    <w:rsid w:val="000A17B8"/>
    <w:rsid w:val="000B5976"/>
    <w:rsid w:val="000E6910"/>
    <w:rsid w:val="000F605F"/>
    <w:rsid w:val="001831C8"/>
    <w:rsid w:val="001B45E4"/>
    <w:rsid w:val="00200749"/>
    <w:rsid w:val="002143B0"/>
    <w:rsid w:val="002328A2"/>
    <w:rsid w:val="002706B9"/>
    <w:rsid w:val="00295492"/>
    <w:rsid w:val="002D7150"/>
    <w:rsid w:val="00361B1E"/>
    <w:rsid w:val="003645B9"/>
    <w:rsid w:val="00386CEF"/>
    <w:rsid w:val="004055B1"/>
    <w:rsid w:val="00451D77"/>
    <w:rsid w:val="00482054"/>
    <w:rsid w:val="00572B0D"/>
    <w:rsid w:val="005C17F1"/>
    <w:rsid w:val="00666A6A"/>
    <w:rsid w:val="006722ED"/>
    <w:rsid w:val="006D69B6"/>
    <w:rsid w:val="007120F4"/>
    <w:rsid w:val="00724AAC"/>
    <w:rsid w:val="00734C00"/>
    <w:rsid w:val="007C14B8"/>
    <w:rsid w:val="007C3DF1"/>
    <w:rsid w:val="007D0F38"/>
    <w:rsid w:val="0081048F"/>
    <w:rsid w:val="0081425B"/>
    <w:rsid w:val="00834339"/>
    <w:rsid w:val="00834ED9"/>
    <w:rsid w:val="00845ED4"/>
    <w:rsid w:val="00870876"/>
    <w:rsid w:val="00952A9C"/>
    <w:rsid w:val="0096711F"/>
    <w:rsid w:val="009745ED"/>
    <w:rsid w:val="00984ACB"/>
    <w:rsid w:val="00986511"/>
    <w:rsid w:val="009E0F26"/>
    <w:rsid w:val="00A20DF9"/>
    <w:rsid w:val="00A44BD2"/>
    <w:rsid w:val="00A55B26"/>
    <w:rsid w:val="00A953E3"/>
    <w:rsid w:val="00A96982"/>
    <w:rsid w:val="00AE44BA"/>
    <w:rsid w:val="00B234FA"/>
    <w:rsid w:val="00B963F3"/>
    <w:rsid w:val="00BC1CAC"/>
    <w:rsid w:val="00BE5E88"/>
    <w:rsid w:val="00BF4004"/>
    <w:rsid w:val="00CE71AF"/>
    <w:rsid w:val="00D334EF"/>
    <w:rsid w:val="00D501E5"/>
    <w:rsid w:val="00DB6BD2"/>
    <w:rsid w:val="00E221D0"/>
    <w:rsid w:val="00E728D1"/>
    <w:rsid w:val="00ED05F3"/>
    <w:rsid w:val="00EF7554"/>
    <w:rsid w:val="00F969B5"/>
    <w:rsid w:val="00FA2F5B"/>
    <w:rsid w:val="00FB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33943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D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1D77"/>
    <w:rPr>
      <w:b/>
      <w:bCs/>
    </w:rPr>
  </w:style>
  <w:style w:type="character" w:styleId="Emphasis">
    <w:name w:val="Emphasis"/>
    <w:basedOn w:val="DefaultParagraphFont"/>
    <w:uiPriority w:val="20"/>
    <w:qFormat/>
    <w:rsid w:val="00451D77"/>
    <w:rPr>
      <w:i/>
      <w:iCs/>
    </w:rPr>
  </w:style>
  <w:style w:type="character" w:customStyle="1" w:styleId="apple-converted-space">
    <w:name w:val="apple-converted-space"/>
    <w:basedOn w:val="DefaultParagraphFont"/>
    <w:rsid w:val="00451D77"/>
  </w:style>
  <w:style w:type="paragraph" w:styleId="BalloonText">
    <w:name w:val="Balloon Text"/>
    <w:basedOn w:val="Normal"/>
    <w:link w:val="BalloonTextChar"/>
    <w:uiPriority w:val="99"/>
    <w:semiHidden/>
    <w:unhideWhenUsed/>
    <w:rsid w:val="00451D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7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7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F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F38"/>
  </w:style>
  <w:style w:type="paragraph" w:styleId="Footer">
    <w:name w:val="footer"/>
    <w:basedOn w:val="Normal"/>
    <w:link w:val="FooterChar"/>
    <w:uiPriority w:val="99"/>
    <w:unhideWhenUsed/>
    <w:rsid w:val="007D0F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F38"/>
  </w:style>
  <w:style w:type="character" w:styleId="CommentReference">
    <w:name w:val="annotation reference"/>
    <w:basedOn w:val="DefaultParagraphFont"/>
    <w:uiPriority w:val="99"/>
    <w:semiHidden/>
    <w:unhideWhenUsed/>
    <w:rsid w:val="000E69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910"/>
    <w:pPr>
      <w:spacing w:after="20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910"/>
  </w:style>
  <w:style w:type="paragraph" w:styleId="Revision">
    <w:name w:val="Revision"/>
    <w:hidden/>
    <w:uiPriority w:val="99"/>
    <w:semiHidden/>
    <w:rsid w:val="003645B9"/>
  </w:style>
  <w:style w:type="table" w:styleId="TableGrid">
    <w:name w:val="Table Grid"/>
    <w:basedOn w:val="TableNormal"/>
    <w:uiPriority w:val="59"/>
    <w:rsid w:val="00CE71A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B5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uab.edu/it/home/policies/data-classification/data-protection-rule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uab.edu/policies/content/Pages/UAB-IT-POL-0000004.asp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uab.edu/it/home/component/k2/item/822-data-protection-and-security-policy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uab.edu/policies/content/Pages/UAB-IT-POL-0000789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uab.edu/it/home/policies/data-classification/predefined-classifications" TargetMode="External"/><Relationship Id="rId10" Type="http://schemas.openxmlformats.org/officeDocument/2006/relationships/hyperlink" Target="http://www.uab.edu/it/home/component/k2/item/822-data-protection-and-security-policy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uab.edu/it/home/policies/data-classification/data-custodia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DBE61001B81D46B468AC54132E2F80" ma:contentTypeVersion="14" ma:contentTypeDescription="Create a new document." ma:contentTypeScope="" ma:versionID="ef19f1fec54302c95fc0fa56aa1d636e">
  <xsd:schema xmlns:xsd="http://www.w3.org/2001/XMLSchema" xmlns:xs="http://www.w3.org/2001/XMLSchema" xmlns:p="http://schemas.microsoft.com/office/2006/metadata/properties" xmlns:ns1="http://schemas.microsoft.com/sharepoint/v3" xmlns:ns3="1ee116f7-675c-4770-93a8-4c453fcb56b8" xmlns:ns4="a5aa384e-14d3-4abb-b88d-217c373f343c" targetNamespace="http://schemas.microsoft.com/office/2006/metadata/properties" ma:root="true" ma:fieldsID="bd34fc53cb1c607145c917b62e0e9712" ns1:_="" ns3:_="" ns4:_="">
    <xsd:import namespace="http://schemas.microsoft.com/sharepoint/v3"/>
    <xsd:import namespace="1ee116f7-675c-4770-93a8-4c453fcb56b8"/>
    <xsd:import namespace="a5aa384e-14d3-4abb-b88d-217c373f343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116f7-675c-4770-93a8-4c453fcb56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a384e-14d3-4abb-b88d-217c373f3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FB54FD-76EC-4ADA-8459-8D3AB7DA18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F5267FC-EB40-47C7-AE98-609BEA894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ee116f7-675c-4770-93a8-4c453fcb56b8"/>
    <ds:schemaRef ds:uri="a5aa384e-14d3-4abb-b88d-217c373f3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A9A4F-BDFE-498A-991E-71AEC3F0BD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 School of Dentistry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Jones</dc:creator>
  <cp:keywords/>
  <dc:description/>
  <cp:lastModifiedBy>Gordinier, Jeremy</cp:lastModifiedBy>
  <cp:revision>11</cp:revision>
  <cp:lastPrinted>2017-01-25T14:18:00Z</cp:lastPrinted>
  <dcterms:created xsi:type="dcterms:W3CDTF">2020-12-10T18:27:00Z</dcterms:created>
  <dcterms:modified xsi:type="dcterms:W3CDTF">2021-10-21T21:32:00Z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0x010100D2DBE61001B81D46B468AC54132E2F80</vt:lpwstr>
  </property>
</Properties>
</file>