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3A5C" w:val="clear"/>
        <w:spacing w:after="60"/>
        <w:jc w:val="center"/>
      </w:pPr>
      <w:r>
        <w:rPr>
          <w:rFonts w:ascii="Arial" w:cs="Arial" w:eastAsia="Arial" w:hAnsi="Arial"/>
          <w:b/>
          <w:bCs/>
          <w:color w:val="FFFFFF"/>
          <w:sz w:val="20"/>
          <w:szCs w:val="20"/>
        </w:rPr>
        <w:t xml:space="preserve">  PELLERA TECHNOLOGIES  •  PRE-EBC INTELLIGENCE BRIEF  •  CONFIDENTIAL  </w:t>
      </w:r>
    </w:p>
    <w:p>
      <w:pPr>
        <w:spacing w:after="140"/>
      </w:pPr>
    </w:p>
    <w:p>
      <w:pPr>
        <w:spacing w:after="40"/>
        <w:jc w:val="center"/>
      </w:pPr>
      <w:r>
        <w:rPr>
          <w:rFonts w:ascii="Arial" w:cs="Arial" w:eastAsia="Arial" w:hAnsi="Arial"/>
          <w:b/>
          <w:bCs/>
          <w:color w:val="1B3A5C"/>
          <w:sz w:val="32"/>
          <w:szCs w:val="32"/>
        </w:rPr>
        <w:t xml:space="preserve">KEY STAKEHOLDER BRIEF: ED BEDNAR</w:t>
      </w:r>
    </w:p>
    <w:p>
      <w:pPr>
        <w:pBdr>
          <w:bottom w:val="single" w:color="1B3A5C" w:sz="3" w:space="6"/>
        </w:pBdr>
        <w:spacing w:after="120"/>
        <w:jc w:val="center"/>
      </w:pPr>
      <w:r>
        <w:rPr>
          <w:rFonts w:ascii="Arial" w:cs="Arial" w:eastAsia="Arial" w:hAnsi="Arial"/>
          <w:color w:val="666666"/>
          <w:sz w:val="22"/>
          <w:szCs w:val="22"/>
        </w:rPr>
        <w:t xml:space="preserve">Chief Enterprise Architect  •  Open Technology Solutions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pPr>
              <w:spacing w:after="40"/>
            </w:pPr>
            <w:r>
              <w:rPr>
                <w:rFonts w:ascii="Arial" w:cs="Arial" w:eastAsia="Arial" w:hAnsi="Arial"/>
                <w:b/>
                <w:bCs/>
                <w:color w:val="FFFFFF"/>
                <w:sz w:val="18"/>
                <w:szCs w:val="18"/>
              </w:rPr>
              <w:t xml:space="preserve">Profile</w:t>
            </w:r>
          </w:p>
        </w:tc>
        <w:tc>
          <w:tcPr>
            <w:tcW w:type="dxa" w:w="728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pPr>
              <w:spacing w:after="40"/>
            </w:pPr>
            <w:r>
              <w:rPr>
                <w:rFonts w:ascii="Arial" w:cs="Arial" w:eastAsia="Arial" w:hAnsi="Arial"/>
                <w:b/>
                <w:bCs/>
                <w:color w:val="FFFFFF"/>
                <w:sz w:val="18"/>
                <w:szCs w:val="18"/>
              </w:rPr>
              <w:t xml:space="preserve">Detail</w:t>
            </w:r>
          </w:p>
        </w:tc>
      </w:tr>
      <w:tr>
        <w:tc>
          <w:tcPr>
            <w:tcW w:type="dxa" w:w="28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Role</w:t>
            </w:r>
          </w:p>
        </w:tc>
        <w:tc>
          <w:tcPr>
            <w:tcW w:type="dxa" w:w="728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Chief Enterprise Architect — owns architectural decisions for the entire OTS consortium</w:t>
            </w:r>
          </w:p>
        </w:tc>
      </w:tr>
      <w:tr>
        <w:tc>
          <w:tcPr>
            <w:tcW w:type="dxa" w:w="28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Tenure</w:t>
            </w:r>
          </w:p>
        </w:tc>
        <w:tc>
          <w:tcPr>
            <w:tcW w:type="dxa" w:w="728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Current at OTS; 30+ years in chief architect roles</w:t>
            </w:r>
          </w:p>
        </w:tc>
      </w:tr>
      <w:tr>
        <w:tc>
          <w:tcPr>
            <w:tcW w:type="dxa" w:w="28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Prior Roles</w:t>
            </w:r>
          </w:p>
        </w:tc>
        <w:tc>
          <w:tcPr>
            <w:tcW w:type="dxa" w:w="728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Deloitte (cloud adoption), LexisNexis ($700M transformation), Sabre (API architecture), IBM, EDS</w:t>
            </w:r>
          </w:p>
        </w:tc>
      </w:tr>
      <w:tr>
        <w:tc>
          <w:tcPr>
            <w:tcW w:type="dxa" w:w="28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Education</w:t>
            </w:r>
          </w:p>
        </w:tc>
        <w:tc>
          <w:tcPr>
            <w:tcW w:type="dxa" w:w="728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Baylor University (BBA), Columbia University (MA)</w:t>
            </w:r>
          </w:p>
        </w:tc>
      </w:tr>
      <w:tr>
        <w:tc>
          <w:tcPr>
            <w:tcW w:type="dxa" w:w="28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Notable Work</w:t>
            </w:r>
          </w:p>
        </w:tc>
        <w:tc>
          <w:tcPr>
            <w:tcW w:type="dxa" w:w="728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MERS mortgage system; Sabre airline reservation APIs; Deloitte global infrastructure integration</w:t>
            </w:r>
          </w:p>
        </w:tc>
      </w:tr>
      <w:tr>
        <w:tc>
          <w:tcPr>
            <w:tcW w:type="dxa" w:w="28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Blog</w:t>
            </w:r>
          </w:p>
        </w:tc>
        <w:tc>
          <w:tcPr>
            <w:tcW w:type="dxa" w:w="728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edbednar.com — “The Computer Is Going to Do Something” — 20+ posts since Aug 2025</w:t>
            </w:r>
          </w:p>
        </w:tc>
      </w:tr>
      <w:tr>
        <w:tc>
          <w:tcPr>
            <w:tcW w:type="dxa" w:w="2800"/>
            <w:gridSpan w:val="1"/>
            <w:tcBorders>
              <w:top w:val="single" w:color="CCCCCC" w:sz="1"/>
              <w:left w:val="single" w:color="CCCCCC" w:sz="1"/>
              <w:bottom w:val="single" w:color="CCCCCC" w:sz="1"/>
              <w:right w:val="single" w:color="CCCCCC" w:sz="1"/>
            </w:tcBorders>
            <w:shd w:fill="FFF3E0" w:val="clear"/>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Active Focus (Q1 2026)</w:t>
            </w:r>
          </w:p>
        </w:tc>
        <w:tc>
          <w:tcPr>
            <w:tcW w:type="dxa" w:w="7280"/>
            <w:gridSpan w:val="1"/>
            <w:tcBorders>
              <w:top w:val="single" w:color="CCCCCC" w:sz="1"/>
              <w:left w:val="single" w:color="CCCCCC" w:sz="1"/>
              <w:bottom w:val="single" w:color="CCCCCC" w:sz="1"/>
              <w:right w:val="single" w:color="CCCCCC" w:sz="1"/>
            </w:tcBorders>
            <w:shd w:fill="FFF3E0" w:val="clear"/>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Publishing a 5-part BCDR series — 2 parts live, 3 forthcoming including cyber recovery</w:t>
            </w:r>
          </w:p>
        </w:tc>
      </w:tr>
    </w:tbl>
    <w:p>
      <w:pPr>
        <w:spacing w:after="140"/>
      </w:pPr>
    </w:p>
    <w:p>
      <w:pPr>
        <w:shd w:fill="1B3A5C" w:val="clear"/>
        <w:spacing w:after="100" w:before="200"/>
      </w:pPr>
      <w:r>
        <w:rPr>
          <w:rFonts w:ascii="Arial" w:cs="Arial" w:eastAsia="Arial" w:hAnsi="Arial"/>
          <w:b/>
          <w:bCs/>
          <w:color w:val="FFFFFF"/>
          <w:sz w:val="22"/>
          <w:szCs w:val="22"/>
        </w:rPr>
        <w:t xml:space="preserve">  WHAT HIS WRITING REVEALS</w:t>
      </w:r>
    </w:p>
    <w:p>
      <w:pPr>
        <w:spacing w:after="100"/>
      </w:pPr>
      <w:r>
        <w:rPr>
          <w:rFonts w:ascii="Arial" w:cs="Arial" w:eastAsia="Arial" w:hAnsi="Arial"/>
          <w:b/>
          <w:bCs/>
          <w:sz w:val="21"/>
          <w:szCs w:val="21"/>
        </w:rPr>
        <w:t xml:space="preserve">He is actively working through the BCDR problem at OTS right now. </w:t>
      </w:r>
      <w:r>
        <w:rPr>
          <w:rFonts w:ascii="Arial" w:cs="Arial" w:eastAsia="Arial" w:hAnsi="Arial"/>
          <w:sz w:val="21"/>
          <w:szCs w:val="21"/>
        </w:rPr>
        <w:t xml:space="preserve">His blog is not casual thought leadership — it’s a working journal of the architectural challenges he’s solving in his role. The BCDR series began January 2026 and his upcoming Part 5 is explicitly about cyber recovery (“How to Recover When Your Systems Are No Longer Yours”).</w:t>
      </w:r>
    </w:p>
    <w:p>
      <w:pPr>
        <w:spacing w:after="1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3680"/>
      </w:tblGrid>
      <w:tr>
        <w:tc>
          <w:tcPr>
            <w:tcW w:type="dxa" w:w="280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pPr>
              <w:spacing w:after="40"/>
            </w:pPr>
            <w:r>
              <w:rPr>
                <w:rFonts w:ascii="Arial" w:cs="Arial" w:eastAsia="Arial" w:hAnsi="Arial"/>
                <w:b/>
                <w:bCs/>
                <w:color w:val="FFFFFF"/>
                <w:sz w:val="18"/>
                <w:szCs w:val="18"/>
              </w:rPr>
              <w:t xml:space="preserve">His Published Principle</w:t>
            </w:r>
          </w:p>
        </w:tc>
        <w:tc>
          <w:tcPr>
            <w:tcW w:type="dxa" w:w="360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pPr>
              <w:spacing w:after="40"/>
            </w:pPr>
            <w:r>
              <w:rPr>
                <w:rFonts w:ascii="Arial" w:cs="Arial" w:eastAsia="Arial" w:hAnsi="Arial"/>
                <w:b/>
                <w:bCs/>
                <w:color w:val="FFFFFF"/>
                <w:sz w:val="18"/>
                <w:szCs w:val="18"/>
              </w:rPr>
              <w:t xml:space="preserve">Our OSINT Finding That Validates It</w:t>
            </w:r>
          </w:p>
        </w:tc>
        <w:tc>
          <w:tcPr>
            <w:tcW w:type="dxa" w:w="368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pPr>
              <w:spacing w:after="40"/>
            </w:pPr>
            <w:r>
              <w:rPr>
                <w:rFonts w:ascii="Arial" w:cs="Arial" w:eastAsia="Arial" w:hAnsi="Arial"/>
                <w:b/>
                <w:bCs/>
                <w:color w:val="FFFFFF"/>
                <w:sz w:val="18"/>
                <w:szCs w:val="18"/>
              </w:rPr>
              <w:t xml:space="preserve">Conversation Opener</w:t>
            </w:r>
          </w:p>
        </w:tc>
      </w:tr>
      <w:tr>
        <w:tc>
          <w:tcPr>
            <w:tcW w:type="dxa" w:w="28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"BC preserves the minimum viable business, not the full business"</w:t>
            </w:r>
          </w:p>
        </w:tc>
        <w:tc>
          <w:tcPr>
            <w:tcW w:type="dxa" w:w="36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3 CUs share OTS infrastructure — but minimum viable business may differ per CU</w:t>
            </w:r>
          </w:p>
        </w:tc>
        <w:tc>
          <w:tcPr>
            <w:tcW w:type="dxa" w:w="368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"Have you defined the MVB separately for each CU, or is it one shared definition?"</w:t>
            </w:r>
          </w:p>
        </w:tc>
      </w:tr>
      <w:tr>
        <w:tc>
          <w:tcPr>
            <w:tcW w:type="dxa" w:w="28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"DR is ordered, not parallel — identity before applications"</w:t>
            </w:r>
          </w:p>
        </w:tc>
        <w:tc>
          <w:tcPr>
            <w:tcW w:type="dxa" w:w="36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Bellco ADFS (.209) and FourLeaf auth (.11) share a /24 — identity can’t recover independently</w:t>
            </w:r>
          </w:p>
        </w:tc>
        <w:tc>
          <w:tcPr>
            <w:tcW w:type="dxa" w:w="368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"Can you sequence identity recovery independently of the app tier in your current architecture?"</w:t>
            </w:r>
          </w:p>
        </w:tc>
      </w:tr>
      <w:tr>
        <w:tc>
          <w:tcPr>
            <w:tcW w:type="dxa" w:w="28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"DR prioritizes data integrity over recovery speed"</w:t>
            </w:r>
          </w:p>
        </w:tc>
        <w:tc>
          <w:tcPr>
            <w:tcW w:type="dxa" w:w="36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All 3 CUs on shared Fiserv DNA core — inconsistent recovery states create reconciliation nightmares</w:t>
            </w:r>
          </w:p>
        </w:tc>
        <w:tc>
          <w:tcPr>
            <w:tcW w:type="dxa" w:w="368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"How are you handling multi-entity data consistency in your DR plan?"</w:t>
            </w:r>
          </w:p>
        </w:tc>
      </w:tr>
      <w:tr>
        <w:tc>
          <w:tcPr>
            <w:tcW w:type="dxa" w:w="28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"BC assumes suppliers fail alongside technology"</w:t>
            </w:r>
          </w:p>
        </w:tc>
        <w:tc>
          <w:tcPr>
            <w:tcW w:type="dxa" w:w="36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OTS IS the technology supplier for all 3 CUs — if OTS is incapacitated, who runs recovery?</w:t>
            </w:r>
          </w:p>
        </w:tc>
        <w:tc>
          <w:tcPr>
            <w:tcW w:type="dxa" w:w="368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"What’s the plan if OTS itself is the compromised entity?"</w:t>
            </w:r>
          </w:p>
        </w:tc>
      </w:tr>
      <w:tr>
        <w:tc>
          <w:tcPr>
            <w:tcW w:type="dxa" w:w="2800"/>
            <w:gridSpan w:val="1"/>
            <w:tcBorders>
              <w:top w:val="single" w:color="CCCCCC" w:sz="1"/>
              <w:left w:val="single" w:color="CCCCCC" w:sz="1"/>
              <w:bottom w:val="single" w:color="CCCCCC" w:sz="1"/>
              <w:right w:val="single" w:color="CCCCCC" w:sz="1"/>
            </w:tcBorders>
            <w:shd w:fill="E8EFF5" w:val="clear"/>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Part 5 (upcoming): Cyber recovery</w:t>
            </w:r>
          </w:p>
        </w:tc>
        <w:tc>
          <w:tcPr>
            <w:tcW w:type="dxa" w:w="3600"/>
            <w:gridSpan w:val="1"/>
            <w:tcBorders>
              <w:top w:val="single" w:color="CCCCCC" w:sz="1"/>
              <w:left w:val="single" w:color="CCCCCC" w:sz="1"/>
              <w:bottom w:val="single" w:color="CCCCCC" w:sz="1"/>
              <w:right w:val="single" w:color="CCCCCC" w:sz="1"/>
            </w:tcBorders>
            <w:shd w:fill="E8EFF5" w:val="clear"/>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Our OSINT mapped exactly what a ransomware actor would target</w:t>
            </w:r>
          </w:p>
        </w:tc>
        <w:tc>
          <w:tcPr>
            <w:tcW w:type="dxa" w:w="3680"/>
            <w:gridSpan w:val="1"/>
            <w:tcBorders>
              <w:top w:val="single" w:color="CCCCCC" w:sz="1"/>
              <w:left w:val="single" w:color="CCCCCC" w:sz="1"/>
              <w:bottom w:val="single" w:color="CCCCCC" w:sz="1"/>
              <w:right w:val="single" w:color="CCCCCC" w:sz="1"/>
            </w:tcBorders>
            <w:shd w:fill="E8EFF5" w:val="clear"/>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"We’d love to contribute to your Part 5 thinking with a view from the outside."</w:t>
            </w:r>
          </w:p>
        </w:tc>
      </w:tr>
    </w:tbl>
    <w:p>
      <w:pPr>
        <w:spacing w:after="140"/>
      </w:pPr>
    </w:p>
    <w:p>
      <w:pPr>
        <w:shd w:fill="1B3A5C" w:val="clear"/>
        <w:spacing w:after="100" w:before="200"/>
      </w:pPr>
      <w:r>
        <w:rPr>
          <w:rFonts w:ascii="Arial" w:cs="Arial" w:eastAsia="Arial" w:hAnsi="Arial"/>
          <w:b/>
          <w:bCs/>
          <w:color w:val="FFFFFF"/>
          <w:sz w:val="22"/>
          <w:szCs w:val="22"/>
        </w:rPr>
        <w:t xml:space="preserve">  HOW TO ENGAGE HIM</w:t>
      </w:r>
    </w:p>
    <w:p>
      <w:pPr>
        <w:pStyle w:val="ListParagraph"/>
        <w:numPr>
          <w:ilvl w:val="0"/>
          <w:numId w:val="2"/>
        </w:numPr>
        <w:spacing w:after="50"/>
      </w:pPr>
      <w:r>
        <w:rPr>
          <w:rFonts w:ascii="Arial" w:cs="Arial" w:eastAsia="Arial" w:hAnsi="Arial"/>
          <w:sz w:val="21"/>
          <w:szCs w:val="21"/>
        </w:rPr>
        <w:t xml:space="preserve">Think in systems, not products. He’ll dismiss feature pitches. Lead with architectural outcomes.</w:t>
      </w:r>
    </w:p>
    <w:p>
      <w:pPr>
        <w:pStyle w:val="ListParagraph"/>
        <w:numPr>
          <w:ilvl w:val="0"/>
          <w:numId w:val="2"/>
        </w:numPr>
        <w:spacing w:after="50"/>
      </w:pPr>
      <w:r>
        <w:rPr>
          <w:rFonts w:ascii="Arial" w:cs="Arial" w:eastAsia="Arial" w:hAnsi="Arial"/>
          <w:sz w:val="21"/>
          <w:szCs w:val="21"/>
        </w:rPr>
        <w:t xml:space="preserve">Quote his own work. He’s published his framework publicly — use it as common ground.</w:t>
      </w:r>
    </w:p>
    <w:p>
      <w:pPr>
        <w:pStyle w:val="ListParagraph"/>
        <w:numPr>
          <w:ilvl w:val="0"/>
          <w:numId w:val="2"/>
        </w:numPr>
        <w:spacing w:after="50"/>
      </w:pPr>
      <w:r>
        <w:rPr>
          <w:rFonts w:ascii="Arial" w:cs="Arial" w:eastAsia="Arial" w:hAnsi="Arial"/>
          <w:sz w:val="21"/>
          <w:szCs w:val="21"/>
        </w:rPr>
        <w:t xml:space="preserve">Collaborate, don’t sell. He’s building a body of work. Position Pellera as contributing to it.</w:t>
      </w:r>
    </w:p>
    <w:p>
      <w:pPr>
        <w:pStyle w:val="ListParagraph"/>
        <w:numPr>
          <w:ilvl w:val="0"/>
          <w:numId w:val="2"/>
        </w:numPr>
        <w:spacing w:after="50"/>
      </w:pPr>
      <w:r>
        <w:rPr>
          <w:rFonts w:ascii="Arial" w:cs="Arial" w:eastAsia="Arial" w:hAnsi="Arial"/>
          <w:sz w:val="21"/>
          <w:szCs w:val="21"/>
        </w:rPr>
        <w:t xml:space="preserve">Show the infrastructure maps. The DNSDumpster output is exactly the kind of concrete, grounded artifact he values over abstract models.</w:t>
      </w:r>
    </w:p>
    <w:p>
      <w:pPr>
        <w:pStyle w:val="ListParagraph"/>
        <w:numPr>
          <w:ilvl w:val="0"/>
          <w:numId w:val="2"/>
        </w:numPr>
        <w:spacing w:after="50"/>
      </w:pPr>
      <w:r>
        <w:rPr>
          <w:rFonts w:ascii="Arial" w:cs="Arial" w:eastAsia="Arial" w:hAnsi="Arial"/>
          <w:sz w:val="21"/>
          <w:szCs w:val="21"/>
        </w:rPr>
        <w:t xml:space="preserve">He has a sense of humor. Zachman “hotdog matrix,” TOGAF “Underpants Gnomes,” Simpsons references. Don’t be overly corporate.</w:t>
      </w:r>
    </w:p>
    <w:p>
      <w:pPr>
        <w:pStyle w:val="ListParagraph"/>
        <w:numPr>
          <w:ilvl w:val="0"/>
          <w:numId w:val="2"/>
        </w:numPr>
        <w:spacing w:after="50"/>
      </w:pPr>
      <w:r>
        <w:rPr>
          <w:rFonts w:ascii="Arial" w:cs="Arial" w:eastAsia="Arial" w:hAnsi="Arial"/>
          <w:sz w:val="21"/>
          <w:szCs w:val="21"/>
        </w:rPr>
        <w:t xml:space="preserve">He despises ivory tower architecture. Multiple posts mock disconnected modeling. Our OSINT is the opposite — grounded in reality.</w:t>
      </w:r>
    </w:p>
    <w:p>
      <w:pPr>
        <w:spacing w:after="140"/>
      </w:pPr>
    </w:p>
    <w:p>
      <w:pPr>
        <w:pBdr>
          <w:left w:val="single" w:color="1B3A5C" w:sz="8" w:space="8"/>
        </w:pBdr>
        <w:shd w:fill="E8EFF5" w:val="clear"/>
        <w:spacing w:after="60" w:before="60"/>
      </w:pPr>
      <w:r>
        <w:rPr>
          <w:rFonts w:ascii="Arial" w:cs="Arial" w:eastAsia="Arial" w:hAnsi="Arial"/>
          <w:b/>
          <w:bCs/>
          <w:color w:val="1B3A5C"/>
          <w:sz w:val="20"/>
          <w:szCs w:val="20"/>
        </w:rPr>
        <w:t xml:space="preserve">  RECOMMENDED OPENER:  </w:t>
      </w:r>
      <w:r>
        <w:rPr>
          <w:rFonts w:ascii="Arial" w:cs="Arial" w:eastAsia="Arial" w:hAnsi="Arial"/>
          <w:color w:val="333333"/>
          <w:sz w:val="20"/>
          <w:szCs w:val="20"/>
        </w:rPr>
        <w:t xml:space="preserve">"Ed, we read your BCDR series. Your first principles are exactly right. We wanted to test them against what we could see from the outside of your architecture — here’s what we found." Then show the 12.178.113.0/24 infrastructure map.</w:t>
      </w:r>
    </w:p>
    <w:p>
      <w:r>
        <w:br w:type="page"/>
      </w:r>
    </w:p>
    <w:p>
      <w:pPr>
        <w:spacing w:after="80" w:before="1500"/>
        <w:jc w:val="center"/>
      </w:pPr>
      <w:r>
        <w:rPr>
          <w:rFonts w:ascii="Arial" w:cs="Arial" w:eastAsia="Arial" w:hAnsi="Arial"/>
          <w:b/>
          <w:bCs/>
          <w:color w:val="1B3A5C"/>
          <w:sz w:val="48"/>
          <w:szCs w:val="48"/>
        </w:rPr>
        <w:t xml:space="preserve">EBC TALKING POINTS DECK</w:t>
      </w:r>
    </w:p>
    <w:p>
      <w:pPr>
        <w:spacing w:after="80"/>
        <w:jc w:val="center"/>
      </w:pPr>
      <w:r>
        <w:rPr>
          <w:rFonts w:ascii="Arial" w:cs="Arial" w:eastAsia="Arial" w:hAnsi="Arial"/>
          <w:color w:val="666666"/>
          <w:sz w:val="28"/>
          <w:szCs w:val="28"/>
        </w:rPr>
        <w:t xml:space="preserve">Open Technology Solutions Consortium</w:t>
      </w:r>
    </w:p>
    <w:p>
      <w:pPr>
        <w:pBdr>
          <w:bottom w:val="single" w:color="1B3A5C" w:sz="4" w:space="8"/>
        </w:pBdr>
        <w:spacing w:after="200"/>
        <w:jc w:val="center"/>
      </w:pPr>
      <w:r>
        <w:rPr>
          <w:rFonts w:ascii="Arial" w:cs="Arial" w:eastAsia="Arial" w:hAnsi="Arial"/>
          <w:color w:val="888888"/>
          <w:sz w:val="22"/>
          <w:szCs w:val="22"/>
        </w:rPr>
        <w:t xml:space="preserve">Integrating OSINT Findings  •  Ed Bednar’s Published Thinking  •  OTS 2026 Priorities</w:t>
      </w:r>
    </w:p>
    <w:p>
      <w:pPr>
        <w:spacing w:after="1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4280"/>
      </w:tblGrid>
      <w:tr>
        <w:tc>
          <w:tcPr>
            <w:tcW w:type="dxa" w:w="300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pPr>
              <w:spacing w:after="40"/>
            </w:pPr>
            <w:r>
              <w:rPr>
                <w:rFonts w:ascii="Arial" w:cs="Arial" w:eastAsia="Arial" w:hAnsi="Arial"/>
                <w:b/>
                <w:bCs/>
                <w:color w:val="FFFFFF"/>
                <w:sz w:val="18"/>
                <w:szCs w:val="18"/>
              </w:rPr>
              <w:t xml:space="preserve">OTS 2026 Priority</w:t>
            </w:r>
          </w:p>
        </w:tc>
        <w:tc>
          <w:tcPr>
            <w:tcW w:type="dxa" w:w="280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pPr>
              <w:spacing w:after="40"/>
            </w:pPr>
            <w:r>
              <w:rPr>
                <w:rFonts w:ascii="Arial" w:cs="Arial" w:eastAsia="Arial" w:hAnsi="Arial"/>
                <w:b/>
                <w:bCs/>
                <w:color w:val="FFFFFF"/>
                <w:sz w:val="18"/>
                <w:szCs w:val="18"/>
              </w:rPr>
              <w:t xml:space="preserve">Alignment Strength</w:t>
            </w:r>
          </w:p>
        </w:tc>
        <w:tc>
          <w:tcPr>
            <w:tcW w:type="dxa" w:w="428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pPr>
              <w:spacing w:after="40"/>
            </w:pPr>
            <w:r>
              <w:rPr>
                <w:rFonts w:ascii="Arial" w:cs="Arial" w:eastAsia="Arial" w:hAnsi="Arial"/>
                <w:b/>
                <w:bCs/>
                <w:color w:val="FFFFFF"/>
                <w:sz w:val="18"/>
                <w:szCs w:val="18"/>
              </w:rPr>
              <w:t xml:space="preserve">Lead With</w:t>
            </w:r>
          </w:p>
        </w:tc>
      </w:tr>
      <w:tr>
        <w:tc>
          <w:tcPr>
            <w:tcW w:type="dxa" w:w="3000"/>
            <w:gridSpan w:val="1"/>
            <w:tcBorders>
              <w:top w:val="single" w:color="CCCCCC" w:sz="1"/>
              <w:left w:val="single" w:color="CCCCCC" w:sz="1"/>
              <w:bottom w:val="single" w:color="CCCCCC" w:sz="1"/>
              <w:right w:val="single" w:color="CCCCCC" w:sz="1"/>
            </w:tcBorders>
            <w:shd w:fill="E8F5E9" w:val="clear"/>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Ransomware Recovery / BCDR</w:t>
            </w:r>
          </w:p>
        </w:tc>
        <w:tc>
          <w:tcPr>
            <w:tcW w:type="dxa" w:w="2800"/>
            <w:gridSpan w:val="1"/>
            <w:tcBorders>
              <w:top w:val="single" w:color="CCCCCC" w:sz="1"/>
              <w:left w:val="single" w:color="CCCCCC" w:sz="1"/>
              <w:bottom w:val="single" w:color="CCCCCC" w:sz="1"/>
              <w:right w:val="single" w:color="CCCCCC" w:sz="1"/>
            </w:tcBorders>
            <w:shd w:fill="E8F5E9" w:val="clear"/>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 — Strongest</w:t>
            </w:r>
          </w:p>
        </w:tc>
        <w:tc>
          <w:tcPr>
            <w:tcW w:type="dxa" w:w="4280"/>
            <w:gridSpan w:val="1"/>
            <w:tcBorders>
              <w:top w:val="single" w:color="CCCCCC" w:sz="1"/>
              <w:left w:val="single" w:color="CCCCCC" w:sz="1"/>
              <w:bottom w:val="single" w:color="CCCCCC" w:sz="1"/>
              <w:right w:val="single" w:color="CCCCCC" w:sz="1"/>
            </w:tcBorders>
            <w:shd w:fill="E8F5E9" w:val="clear"/>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Ed’s own BCDR principles + shared /24 blast radius</w:t>
            </w:r>
          </w:p>
        </w:tc>
      </w:tr>
      <w:tr>
        <w:tc>
          <w:tcPr>
            <w:tcW w:type="dxa" w:w="3000"/>
            <w:gridSpan w:val="1"/>
            <w:tcBorders>
              <w:top w:val="single" w:color="CCCCCC" w:sz="1"/>
              <w:left w:val="single" w:color="CCCCCC" w:sz="1"/>
              <w:bottom w:val="single" w:color="CCCCCC" w:sz="1"/>
              <w:right w:val="single" w:color="CCCCCC" w:sz="1"/>
            </w:tcBorders>
            <w:shd w:fill="E8F5E9" w:val="clear"/>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PAM / IAM</w:t>
            </w:r>
          </w:p>
        </w:tc>
        <w:tc>
          <w:tcPr>
            <w:tcW w:type="dxa" w:w="2800"/>
            <w:gridSpan w:val="1"/>
            <w:tcBorders>
              <w:top w:val="single" w:color="CCCCCC" w:sz="1"/>
              <w:left w:val="single" w:color="CCCCCC" w:sz="1"/>
              <w:bottom w:val="single" w:color="CCCCCC" w:sz="1"/>
              <w:right w:val="single" w:color="CCCCCC" w:sz="1"/>
            </w:tcBorders>
            <w:shd w:fill="E8F5E9" w:val="clear"/>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 — Strongest</w:t>
            </w:r>
          </w:p>
        </w:tc>
        <w:tc>
          <w:tcPr>
            <w:tcW w:type="dxa" w:w="4280"/>
            <w:gridSpan w:val="1"/>
            <w:tcBorders>
              <w:top w:val="single" w:color="CCCCCC" w:sz="1"/>
              <w:left w:val="single" w:color="CCCCCC" w:sz="1"/>
              <w:bottom w:val="single" w:color="CCCCCC" w:sz="1"/>
              <w:right w:val="single" w:color="CCCCCC" w:sz="1"/>
            </w:tcBorders>
            <w:shd w:fill="E8F5E9" w:val="clear"/>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Cross-CU ADFS on shared subnet + WHOIS-exposed admin identities</w:t>
            </w:r>
          </w:p>
        </w:tc>
      </w:tr>
      <w:tr>
        <w:tc>
          <w:tcPr>
            <w:tcW w:type="dxa" w:w="3000"/>
            <w:gridSpan w:val="1"/>
            <w:tcBorders>
              <w:top w:val="single" w:color="CCCCCC" w:sz="1"/>
              <w:left w:val="single" w:color="CCCCCC" w:sz="1"/>
              <w:bottom w:val="single" w:color="CCCCCC" w:sz="1"/>
              <w:right w:val="single" w:color="CCCCCC" w:sz="1"/>
            </w:tcBorders>
            <w:shd w:fill="E8EFF5" w:val="clear"/>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Enterprise Logging / Observability</w:t>
            </w:r>
          </w:p>
        </w:tc>
        <w:tc>
          <w:tcPr>
            <w:tcW w:type="dxa" w:w="2800"/>
            <w:gridSpan w:val="1"/>
            <w:tcBorders>
              <w:top w:val="single" w:color="CCCCCC" w:sz="1"/>
              <w:left w:val="single" w:color="CCCCCC" w:sz="1"/>
              <w:bottom w:val="single" w:color="CCCCCC" w:sz="1"/>
              <w:right w:val="single" w:color="CCCCCC" w:sz="1"/>
            </w:tcBorders>
            <w:shd w:fill="E8EFF5" w:val="clear"/>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 — Very Strong</w:t>
            </w:r>
          </w:p>
        </w:tc>
        <w:tc>
          <w:tcPr>
            <w:tcW w:type="dxa" w:w="4280"/>
            <w:gridSpan w:val="1"/>
            <w:tcBorders>
              <w:top w:val="single" w:color="CCCCCC" w:sz="1"/>
              <w:left w:val="single" w:color="CCCCCC" w:sz="1"/>
              <w:bottom w:val="single" w:color="CCCCCC" w:sz="1"/>
              <w:right w:val="single" w:color="CCCCCC" w:sz="1"/>
            </w:tcBorders>
            <w:shd w:fill="E8EFF5" w:val="clear"/>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30+ vendors confirmed, mixed platforms, legacy blind spots</w:t>
            </w:r>
          </w:p>
        </w:tc>
      </w:tr>
      <w:tr>
        <w:tc>
          <w:tcPr>
            <w:tcW w:type="dxa" w:w="3000"/>
            <w:gridSpan w:val="1"/>
            <w:tcBorders>
              <w:top w:val="single" w:color="CCCCCC" w:sz="1"/>
              <w:left w:val="single" w:color="CCCCCC" w:sz="1"/>
              <w:bottom w:val="single" w:color="CCCCCC" w:sz="1"/>
              <w:right w:val="single" w:color="CCCCCC" w:sz="1"/>
            </w:tcBorders>
            <w:shd w:fill="E8EFF5" w:val="clear"/>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Endpoint Protection</w:t>
            </w:r>
          </w:p>
        </w:tc>
        <w:tc>
          <w:tcPr>
            <w:tcW w:type="dxa" w:w="2800"/>
            <w:gridSpan w:val="1"/>
            <w:tcBorders>
              <w:top w:val="single" w:color="CCCCCC" w:sz="1"/>
              <w:left w:val="single" w:color="CCCCCC" w:sz="1"/>
              <w:bottom w:val="single" w:color="CCCCCC" w:sz="1"/>
              <w:right w:val="single" w:color="CCCCCC" w:sz="1"/>
            </w:tcBorders>
            <w:shd w:fill="E8EFF5" w:val="clear"/>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 — Moderate</w:t>
            </w:r>
          </w:p>
        </w:tc>
        <w:tc>
          <w:tcPr>
            <w:tcW w:type="dxa" w:w="4280"/>
            <w:gridSpan w:val="1"/>
            <w:tcBorders>
              <w:top w:val="single" w:color="CCCCCC" w:sz="1"/>
              <w:left w:val="single" w:color="CCCCCC" w:sz="1"/>
              <w:bottom w:val="single" w:color="CCCCCC" w:sz="1"/>
              <w:right w:val="single" w:color="CCCCCC" w:sz="1"/>
            </w:tcBorders>
            <w:shd w:fill="E8EFF5" w:val="clear"/>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Branch expansion + mixed OS + Citrix VDI + Jamf confirmed</w:t>
            </w:r>
          </w:p>
        </w:tc>
      </w:tr>
    </w:tbl>
    <w:p>
      <w:r>
        <w:br w:type="page"/>
      </w:r>
    </w:p>
    <w:p>
      <w:pPr>
        <w:shd w:fill="1B3A5C" w:val="clear"/>
        <w:spacing w:after="100" w:before="200"/>
      </w:pPr>
      <w:r>
        <w:rPr>
          <w:rFonts w:ascii="Arial" w:cs="Arial" w:eastAsia="Arial" w:hAnsi="Arial"/>
          <w:b/>
          <w:bCs/>
          <w:color w:val="FFFFFF"/>
          <w:sz w:val="22"/>
          <w:szCs w:val="22"/>
        </w:rPr>
        <w:t xml:space="preserve">  TOPIC 1: RANSOMWARE RECOVERY / BCDR</w:t>
      </w:r>
    </w:p>
    <w:p>
      <w:pPr>
        <w:spacing w:after="140"/>
      </w:pPr>
    </w:p>
    <w:p>
      <w:pPr>
        <w:spacing w:after="100"/>
      </w:pPr>
      <w:r>
        <w:rPr>
          <w:rFonts w:ascii="Arial" w:cs="Arial" w:eastAsia="Arial" w:hAnsi="Arial"/>
          <w:b/>
          <w:bCs/>
          <w:sz w:val="21"/>
          <w:szCs w:val="21"/>
        </w:rPr>
        <w:t xml:space="preserve">Time allocation: </w:t>
      </w:r>
      <w:r>
        <w:rPr>
          <w:rFonts w:ascii="Arial" w:cs="Arial" w:eastAsia="Arial" w:hAnsi="Arial"/>
          <w:sz w:val="21"/>
          <w:szCs w:val="21"/>
        </w:rPr>
        <w:t xml:space="preserve">20 minutes  |  This is the lead topic. Ed is actively publishing on BCDR. Our findings provide concrete validation of the architectural risks his series is working through.</w:t>
      </w:r>
    </w:p>
    <w:p>
      <w:pPr>
        <w:spacing w:after="140"/>
      </w:pPr>
    </w:p>
    <w:p>
      <w:pPr>
        <w:pStyle w:val="Heading3"/>
      </w:pPr>
      <w:r>
        <w:t xml:space="preserve">Ed’s Framework (Use His Language)</w:t>
      </w:r>
    </w:p>
    <w:p>
      <w:pPr>
        <w:pBdr>
          <w:left w:val="single" w:color="2E75B6" w:sz="8" w:space="8"/>
        </w:pBdr>
        <w:spacing w:after="80" w:before="80"/>
        <w:ind w:left="400" w:right="400"/>
      </w:pPr>
      <w:r>
        <w:rPr>
          <w:rFonts w:ascii="Arial" w:cs="Arial" w:eastAsia="Arial" w:hAnsi="Arial"/>
          <w:i/>
          <w:iCs/>
          <w:color w:val="444444"/>
          <w:sz w:val="20"/>
          <w:szCs w:val="20"/>
        </w:rPr>
        <w:t xml:space="preserve">“Business continuity preserves the minimum viable business, not the full business.”</w:t>
      </w:r>
      <w:r>
        <w:rPr>
          <w:rFonts w:ascii="Arial" w:cs="Arial" w:eastAsia="Arial" w:hAnsi="Arial"/>
          <w:color w:val="888888"/>
          <w:sz w:val="18"/>
          <w:szCs w:val="18"/>
        </w:rPr>
        <w:t xml:space="preserve">  — Ed Bednar, “Defining Survival,” Feb 2026</w:t>
      </w:r>
    </w:p>
    <w:p>
      <w:pPr>
        <w:pBdr>
          <w:left w:val="single" w:color="2E75B6" w:sz="8" w:space="8"/>
        </w:pBdr>
        <w:spacing w:after="80" w:before="80"/>
        <w:ind w:left="400" w:right="400"/>
      </w:pPr>
      <w:r>
        <w:rPr>
          <w:rFonts w:ascii="Arial" w:cs="Arial" w:eastAsia="Arial" w:hAnsi="Arial"/>
          <w:i/>
          <w:iCs/>
          <w:color w:val="444444"/>
          <w:sz w:val="20"/>
          <w:szCs w:val="20"/>
        </w:rPr>
        <w:t xml:space="preserve">“Disaster recovery is ordered, not parallel. Networks before endpoints, identity before applications.”</w:t>
      </w:r>
      <w:r>
        <w:rPr>
          <w:rFonts w:ascii="Arial" w:cs="Arial" w:eastAsia="Arial" w:hAnsi="Arial"/>
          <w:color w:val="888888"/>
          <w:sz w:val="18"/>
          <w:szCs w:val="18"/>
        </w:rPr>
        <w:t xml:space="preserve">  — Ed Bednar, “Defining Survival,” Feb 2026</w:t>
      </w:r>
    </w:p>
    <w:p>
      <w:pPr>
        <w:pBdr>
          <w:left w:val="single" w:color="2E75B6" w:sz="8" w:space="8"/>
        </w:pBdr>
        <w:spacing w:after="80" w:before="80"/>
        <w:ind w:left="400" w:right="400"/>
      </w:pPr>
      <w:r>
        <w:rPr>
          <w:rFonts w:ascii="Arial" w:cs="Arial" w:eastAsia="Arial" w:hAnsi="Arial"/>
          <w:i/>
          <w:iCs/>
          <w:color w:val="444444"/>
          <w:sz w:val="20"/>
          <w:szCs w:val="20"/>
        </w:rPr>
        <w:t xml:space="preserve">“A fast disaster recovery approach that produces inconsistent, corrupted, or unreconciled data is probably more of a deferred failure than an exercise in recovery.”</w:t>
      </w:r>
      <w:r>
        <w:rPr>
          <w:rFonts w:ascii="Arial" w:cs="Arial" w:eastAsia="Arial" w:hAnsi="Arial"/>
          <w:color w:val="888888"/>
          <w:sz w:val="18"/>
          <w:szCs w:val="18"/>
        </w:rPr>
        <w:t xml:space="preserve">  — Ed Bednar, “Defining Survival,” Feb 2026</w:t>
      </w:r>
    </w:p>
    <w:p>
      <w:pPr>
        <w:spacing w:after="140"/>
      </w:pPr>
    </w:p>
    <w:p>
      <w:pPr>
        <w:pStyle w:val="Heading3"/>
      </w:pPr>
      <w:r>
        <w:t xml:space="preserve">OSINT Findings That Anchor the Discussion</w:t>
      </w:r>
    </w:p>
    <w:p>
      <w:pPr>
        <w:spacing w:after="1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3680"/>
      </w:tblGrid>
      <w:tr>
        <w:tc>
          <w:tcPr>
            <w:tcW w:type="dxa" w:w="280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pPr>
              <w:spacing w:after="40"/>
            </w:pPr>
            <w:r>
              <w:rPr>
                <w:rFonts w:ascii="Arial" w:cs="Arial" w:eastAsia="Arial" w:hAnsi="Arial"/>
                <w:b/>
                <w:bCs/>
                <w:color w:val="FFFFFF"/>
                <w:sz w:val="18"/>
                <w:szCs w:val="18"/>
              </w:rPr>
              <w:t xml:space="preserve">Finding</w:t>
            </w:r>
          </w:p>
        </w:tc>
        <w:tc>
          <w:tcPr>
            <w:tcW w:type="dxa" w:w="360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pPr>
              <w:spacing w:after="40"/>
            </w:pPr>
            <w:r>
              <w:rPr>
                <w:rFonts w:ascii="Arial" w:cs="Arial" w:eastAsia="Arial" w:hAnsi="Arial"/>
                <w:b/>
                <w:bCs/>
                <w:color w:val="FFFFFF"/>
                <w:sz w:val="18"/>
                <w:szCs w:val="18"/>
              </w:rPr>
              <w:t xml:space="preserve">BCDR Implication</w:t>
            </w:r>
          </w:p>
        </w:tc>
        <w:tc>
          <w:tcPr>
            <w:tcW w:type="dxa" w:w="368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pPr>
              <w:spacing w:after="40"/>
            </w:pPr>
            <w:r>
              <w:rPr>
                <w:rFonts w:ascii="Arial" w:cs="Arial" w:eastAsia="Arial" w:hAnsi="Arial"/>
                <w:b/>
                <w:bCs/>
                <w:color w:val="FFFFFF"/>
                <w:sz w:val="18"/>
                <w:szCs w:val="18"/>
              </w:rPr>
              <w:t xml:space="preserve">Question for Ed</w:t>
            </w:r>
          </w:p>
        </w:tc>
      </w:tr>
      <w:tr>
        <w:tc>
          <w:tcPr>
            <w:tcW w:type="dxa" w:w="28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All 3 CUs + OTS share 12.178.113.0/24 at Flexential CO colo</w:t>
            </w:r>
          </w:p>
        </w:tc>
        <w:tc>
          <w:tcPr>
            <w:tcW w:type="dxa" w:w="36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A single ransomware event encrypts ADFS, web, mail, and DNS for ALL entities simultaneously. One incident = three NCUA 72-hour notifications.</w:t>
            </w:r>
          </w:p>
        </w:tc>
        <w:tc>
          <w:tcPr>
            <w:tcW w:type="dxa" w:w="368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"What does independent CU recovery look like if this subnet is fully encrypted?"</w:t>
            </w:r>
          </w:p>
        </w:tc>
      </w:tr>
      <w:tr>
        <w:tc>
          <w:tcPr>
            <w:tcW w:type="dxa" w:w="28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Mixed firewall (Cisco ASA + Palo Alto GlobalProtect) + Citrix</w:t>
            </w:r>
          </w:p>
        </w:tc>
        <w:tc>
          <w:tcPr>
            <w:tcW w:type="dxa" w:w="36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Recovery requires consistent restoration across two firewall management planes and a Citrix gateway — sequencing complexity multiplied</w:t>
            </w:r>
          </w:p>
        </w:tc>
        <w:tc>
          <w:tcPr>
            <w:tcW w:type="dxa" w:w="368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"In a recovery scenario, which platform takes priority? Can you fail over to one while the other is being restored?"</w:t>
            </w:r>
          </w:p>
        </w:tc>
      </w:tr>
      <w:tr>
        <w:tc>
          <w:tcPr>
            <w:tcW w:type="dxa" w:w="28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OTS DNS (dns3/5/6.open-techs.com) is authoritative for all domains</w:t>
            </w:r>
          </w:p>
        </w:tc>
        <w:tc>
          <w:tcPr>
            <w:tcW w:type="dxa" w:w="36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If OTS DNS is compromised, no CU can be reached by members — even if their systems are online</w:t>
            </w:r>
          </w:p>
        </w:tc>
        <w:tc>
          <w:tcPr>
            <w:tcW w:type="dxa" w:w="368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"Is DNS in your BCDR recovery sequence? If OTS DNS goes down, does each CU have a fallback?"</w:t>
            </w:r>
          </w:p>
        </w:tc>
      </w:tr>
      <w:tr>
        <w:tc>
          <w:tcPr>
            <w:tcW w:type="dxa" w:w="28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bethpage.retired.open-techs.com still resolving</w:t>
            </w:r>
          </w:p>
        </w:tc>
        <w:tc>
          <w:tcPr>
            <w:tcW w:type="dxa" w:w="36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Assets labeled “retired” but still live = assets that may not be in backup scope or DR runbooks</w:t>
            </w:r>
          </w:p>
        </w:tc>
        <w:tc>
          <w:tcPr>
            <w:tcW w:type="dxa" w:w="368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"Are retired assets included in your DR testing, or have they aged out of the recovery scope?"</w:t>
            </w:r>
          </w:p>
        </w:tc>
      </w:tr>
      <w:tr>
        <w:tc>
          <w:tcPr>
            <w:tcW w:type="dxa" w:w="28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Ed’s upcoming Part 5: cyber recovery</w:t>
            </w:r>
          </w:p>
        </w:tc>
        <w:tc>
          <w:tcPr>
            <w:tcW w:type="dxa" w:w="36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He’s actively formulating this thinking — our OSINT shows the attack paths a ransomware actor would use</w:t>
            </w:r>
          </w:p>
        </w:tc>
        <w:tc>
          <w:tcPr>
            <w:tcW w:type="dxa" w:w="368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"We mapped your architecture from the outside. We’d love to contribute to your cyber recovery thinking with this perspective."</w:t>
            </w:r>
          </w:p>
        </w:tc>
      </w:tr>
    </w:tbl>
    <w:p>
      <w:pPr>
        <w:spacing w:after="140"/>
      </w:pPr>
    </w:p>
    <w:p>
      <w:pPr>
        <w:pStyle w:val="Heading3"/>
      </w:pPr>
      <w:r>
        <w:t xml:space="preserve">The Killer Moment</w:t>
      </w:r>
    </w:p>
    <w:p>
      <w:pPr>
        <w:spacing w:after="100"/>
      </w:pPr>
      <w:r>
        <w:rPr>
          <w:rFonts w:ascii="Arial" w:cs="Arial" w:eastAsia="Arial" w:hAnsi="Arial"/>
          <w:b/>
          <w:bCs/>
          <w:sz w:val="21"/>
          <w:szCs w:val="21"/>
        </w:rPr>
        <w:t xml:space="preserve">Show the DNSDumpster map of open-techs.com </w:t>
      </w:r>
      <w:r>
        <w:rPr>
          <w:rFonts w:ascii="Arial" w:cs="Arial" w:eastAsia="Arial" w:hAnsi="Arial"/>
          <w:sz w:val="21"/>
          <w:szCs w:val="21"/>
        </w:rPr>
        <w:t xml:space="preserve">(Appendix C.2 of the OSINT report). It visualizes every OTS internal system — GRC, ISOC, per-CU mail relays, test environments, camera systems — all on the same AT&amp;T /9 block. Then say:</w:t>
      </w:r>
    </w:p>
    <w:p>
      <w:pPr>
        <w:pBdr>
          <w:left w:val="single" w:color="2E75B6" w:sz="8" w:space="8"/>
        </w:pBdr>
        <w:spacing w:after="80" w:before="80"/>
        <w:ind w:left="400" w:right="400"/>
      </w:pPr>
      <w:r>
        <w:rPr>
          <w:rFonts w:ascii="Arial" w:cs="Arial" w:eastAsia="Arial" w:hAnsi="Arial"/>
          <w:i/>
          <w:iCs/>
          <w:color w:val="444444"/>
          <w:sz w:val="20"/>
          <w:szCs w:val="20"/>
        </w:rPr>
        <w:t xml:space="preserve">“Ed, you wrote that DR must be ordered, not parallel. Looking at this map, walk us through the first 60 minutes of your recovery sequence.”</w:t>
      </w:r>
      <w:r>
        <w:rPr>
          <w:rFonts w:ascii="Arial" w:cs="Arial" w:eastAsia="Arial" w:hAnsi="Arial"/>
          <w:color w:val="888888"/>
          <w:sz w:val="18"/>
          <w:szCs w:val="18"/>
        </w:rPr>
        <w:t xml:space="preserve">  — Your talking point</w:t>
      </w:r>
    </w:p>
    <w:p>
      <w:pPr>
        <w:spacing w:after="140"/>
      </w:pPr>
    </w:p>
    <w:p>
      <w:pPr>
        <w:pStyle w:val="Heading3"/>
      </w:pPr>
      <w:r>
        <w:t xml:space="preserve">What Pellera Brings</w:t>
      </w:r>
    </w:p>
    <w:p>
      <w:pPr>
        <w:pStyle w:val="ListParagraph"/>
        <w:numPr>
          <w:ilvl w:val="0"/>
          <w:numId w:val="2"/>
        </w:numPr>
        <w:spacing w:after="50"/>
      </w:pPr>
      <w:r>
        <w:rPr>
          <w:rFonts w:ascii="Arial" w:cs="Arial" w:eastAsia="Arial" w:hAnsi="Arial"/>
          <w:sz w:val="21"/>
          <w:szCs w:val="21"/>
        </w:rPr>
        <w:t xml:space="preserve">IR retainer with consortium-specific playbooks and guaranteed 2-hour response SLA</w:t>
      </w:r>
    </w:p>
    <w:p>
      <w:pPr>
        <w:pStyle w:val="ListParagraph"/>
        <w:numPr>
          <w:ilvl w:val="0"/>
          <w:numId w:val="2"/>
        </w:numPr>
        <w:spacing w:after="50"/>
      </w:pPr>
      <w:r>
        <w:rPr>
          <w:rFonts w:ascii="Arial" w:cs="Arial" w:eastAsia="Arial" w:hAnsi="Arial"/>
          <w:sz w:val="21"/>
          <w:szCs w:val="21"/>
        </w:rPr>
        <w:t xml:space="preserve">BCDR architecture review — validate recovery sequencing against the actual infrastructure we’ve mapped</w:t>
      </w:r>
    </w:p>
    <w:p>
      <w:pPr>
        <w:pStyle w:val="ListParagraph"/>
        <w:numPr>
          <w:ilvl w:val="0"/>
          <w:numId w:val="2"/>
        </w:numPr>
        <w:spacing w:after="50"/>
      </w:pPr>
      <w:r>
        <w:rPr>
          <w:rFonts w:ascii="Arial" w:cs="Arial" w:eastAsia="Arial" w:hAnsi="Arial"/>
          <w:sz w:val="21"/>
          <w:szCs w:val="21"/>
        </w:rPr>
        <w:t xml:space="preserve">Tabletop exercise: “Ransomware on 12.178.113.0/24 at 2am Saturday” — test Ed’s first principles in a realistic scenario</w:t>
      </w:r>
    </w:p>
    <w:p>
      <w:pPr>
        <w:pStyle w:val="ListParagraph"/>
        <w:numPr>
          <w:ilvl w:val="0"/>
          <w:numId w:val="2"/>
        </w:numPr>
        <w:spacing w:after="50"/>
      </w:pPr>
      <w:r>
        <w:rPr>
          <w:rFonts w:ascii="Arial" w:cs="Arial" w:eastAsia="Arial" w:hAnsi="Arial"/>
          <w:sz w:val="21"/>
          <w:szCs w:val="21"/>
        </w:rPr>
        <w:t xml:space="preserve">Cyber recovery planning aligned with his Part 5 thinking — recovering from compromise vs. recovering from failure</w:t>
      </w:r>
    </w:p>
    <w:p>
      <w:r>
        <w:br w:type="page"/>
      </w:r>
    </w:p>
    <w:p>
      <w:pPr>
        <w:shd w:fill="1B3A5C" w:val="clear"/>
        <w:spacing w:after="100" w:before="200"/>
      </w:pPr>
      <w:r>
        <w:rPr>
          <w:rFonts w:ascii="Arial" w:cs="Arial" w:eastAsia="Arial" w:hAnsi="Arial"/>
          <w:b/>
          <w:bCs/>
          <w:color w:val="FFFFFF"/>
          <w:sz w:val="22"/>
          <w:szCs w:val="22"/>
        </w:rPr>
        <w:t xml:space="preserve">  TOPIC 2: PAM / IAM</w:t>
      </w:r>
    </w:p>
    <w:p>
      <w:pPr>
        <w:spacing w:after="140"/>
      </w:pPr>
    </w:p>
    <w:p>
      <w:pPr>
        <w:spacing w:after="100"/>
      </w:pPr>
      <w:r>
        <w:rPr>
          <w:rFonts w:ascii="Arial" w:cs="Arial" w:eastAsia="Arial" w:hAnsi="Arial"/>
          <w:b/>
          <w:bCs/>
          <w:sz w:val="21"/>
          <w:szCs w:val="21"/>
        </w:rPr>
        <w:t xml:space="preserve">Time allocation: </w:t>
      </w:r>
      <w:r>
        <w:rPr>
          <w:rFonts w:ascii="Arial" w:cs="Arial" w:eastAsia="Arial" w:hAnsi="Arial"/>
          <w:sz w:val="21"/>
          <w:szCs w:val="21"/>
        </w:rPr>
        <w:t xml:space="preserve">20 minutes  |  This is the most technically compelling mapping. The OSINT findings create an airtight case for privileged access risk in a multi-tenant CUSO.</w:t>
      </w:r>
    </w:p>
    <w:p>
      <w:pPr>
        <w:spacing w:after="140"/>
      </w:pPr>
    </w:p>
    <w:p>
      <w:pPr>
        <w:pStyle w:val="Heading3"/>
      </w:pPr>
      <w:r>
        <w:t xml:space="preserve">Ed’s Framework Connection</w:t>
      </w:r>
    </w:p>
    <w:p>
      <w:pPr>
        <w:spacing w:after="100"/>
      </w:pPr>
      <w:r>
        <w:rPr>
          <w:rFonts w:ascii="Arial" w:cs="Arial" w:eastAsia="Arial" w:hAnsi="Arial"/>
          <w:sz w:val="21"/>
          <w:szCs w:val="21"/>
        </w:rPr>
        <w:t xml:space="preserve">Ed’s baseline architecture blueprint methodology emphasizes hierarchical asset containment and dependency mapping. Identity infrastructure is a foundational dependency in his model — it must be resolved before anything above it can function. Our findings show that identity is co-located with (and therefore co-vulnerable to) everything it’s supposed to protect.</w:t>
      </w:r>
    </w:p>
    <w:p>
      <w:pPr>
        <w:spacing w:after="140"/>
      </w:pPr>
    </w:p>
    <w:p>
      <w:pPr>
        <w:pStyle w:val="Heading3"/>
      </w:pPr>
      <w:r>
        <w:t xml:space="preserve">OSINT Findings That Anchor the Discussion</w:t>
      </w:r>
    </w:p>
    <w:p>
      <w:pPr>
        <w:spacing w:after="1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3680"/>
      </w:tblGrid>
      <w:tr>
        <w:tc>
          <w:tcPr>
            <w:tcW w:type="dxa" w:w="300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pPr>
              <w:spacing w:after="40"/>
            </w:pPr>
            <w:r>
              <w:rPr>
                <w:rFonts w:ascii="Arial" w:cs="Arial" w:eastAsia="Arial" w:hAnsi="Arial"/>
                <w:b/>
                <w:bCs/>
                <w:color w:val="FFFFFF"/>
                <w:sz w:val="18"/>
                <w:szCs w:val="18"/>
              </w:rPr>
              <w:t xml:space="preserve">Finding</w:t>
            </w:r>
          </w:p>
        </w:tc>
        <w:tc>
          <w:tcPr>
            <w:tcW w:type="dxa" w:w="340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pPr>
              <w:spacing w:after="40"/>
            </w:pPr>
            <w:r>
              <w:rPr>
                <w:rFonts w:ascii="Arial" w:cs="Arial" w:eastAsia="Arial" w:hAnsi="Arial"/>
                <w:b/>
                <w:bCs/>
                <w:color w:val="FFFFFF"/>
                <w:sz w:val="18"/>
                <w:szCs w:val="18"/>
              </w:rPr>
              <w:t xml:space="preserve">PAM/IAM Implication</w:t>
            </w:r>
          </w:p>
        </w:tc>
        <w:tc>
          <w:tcPr>
            <w:tcW w:type="dxa" w:w="368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pPr>
              <w:spacing w:after="40"/>
            </w:pPr>
            <w:r>
              <w:rPr>
                <w:rFonts w:ascii="Arial" w:cs="Arial" w:eastAsia="Arial" w:hAnsi="Arial"/>
                <w:b/>
                <w:bCs/>
                <w:color w:val="FFFFFF"/>
                <w:sz w:val="18"/>
                <w:szCs w:val="18"/>
              </w:rPr>
              <w:t xml:space="preserve">Question for Ed</w:t>
            </w:r>
          </w:p>
        </w:tc>
      </w:tr>
      <w:tr>
        <w:tc>
          <w:tcPr>
            <w:tcW w:type="dxa" w:w="30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adfs.bellco.org (12.178.113.209) and auth.bethpagefcu.com (12.178.113.11) on same /24</w:t>
            </w:r>
          </w:p>
        </w:tc>
        <w:tc>
          <w:tcPr>
            <w:tcW w:type="dxa" w:w="34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Golden SAML attack risk — compromise one ADFS, forge tokens for both CUs’ cloud apps</w:t>
            </w:r>
          </w:p>
        </w:tc>
        <w:tc>
          <w:tcPr>
            <w:tcW w:type="dxa" w:w="368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"Is there segmentation or monitoring between these identity systems?"</w:t>
            </w:r>
          </w:p>
        </w:tc>
      </w:tr>
      <w:tr>
        <w:tc>
          <w:tcPr>
            <w:tcW w:type="dxa" w:w="30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adfs-test.fourleaffcu.com → blv1.gpcloudservice.com (Palo Alto Prisma)</w:t>
            </w:r>
          </w:p>
        </w:tc>
        <w:tc>
          <w:tcPr>
            <w:tcW w:type="dxa" w:w="34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Test ADFS on production SASE infrastructure — if federated with production Azure AD, it’s a softer entry point</w:t>
            </w:r>
          </w:p>
        </w:tc>
        <w:tc>
          <w:tcPr>
            <w:tcW w:type="dxa" w:w="368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"Is the test IdP federated with production tenants?"</w:t>
            </w:r>
          </w:p>
        </w:tc>
      </w:tr>
      <w:tr>
        <w:tc>
          <w:tcPr>
            <w:tcW w:type="dxa" w:w="30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bmccormick@open-techs.com exposed via WHOIS + email format confirmed</w:t>
            </w:r>
          </w:p>
        </w:tc>
        <w:tc>
          <w:tcPr>
            <w:tcW w:type="dxa" w:w="34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OTS domain admins are named, contactable, and have cross-CU DNS/infrastructure access — prime SE targets</w:t>
            </w:r>
          </w:p>
        </w:tc>
        <w:tc>
          <w:tcPr>
            <w:tcW w:type="dxa" w:w="368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"How are you managing privileged access lifecycle for OTS staff with cross-CU access?"</w:t>
            </w:r>
          </w:p>
        </w:tc>
      </w:tr>
      <w:tr>
        <w:tc>
          <w:tcPr>
            <w:tcW w:type="dxa" w:w="30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3 VPN platforms (GlobalProtect + Cisco ASA + Citrix)</w:t>
            </w:r>
          </w:p>
        </w:tc>
        <w:tc>
          <w:tcPr>
            <w:tcW w:type="dxa" w:w="34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Each may have different MFA enforcement policies — legacy platforms often have weaker auth</w:t>
            </w:r>
          </w:p>
        </w:tc>
        <w:tc>
          <w:tcPr>
            <w:tcW w:type="dxa" w:w="368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"Are all three VPN platforms enforcing consistent MFA?"</w:t>
            </w:r>
          </w:p>
        </w:tc>
      </w:tr>
      <w:tr>
        <w:tc>
          <w:tcPr>
            <w:tcW w:type="dxa" w:w="30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NYDFS 23 NYCRR 500 applies to FourLeaf</w:t>
            </w:r>
          </w:p>
        </w:tc>
        <w:tc>
          <w:tcPr>
            <w:tcW w:type="dxa" w:w="34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MFA required for all privileged access — if legacy ADFS or VPN don’t enforce MFA, that’s a regulatory finding</w:t>
            </w:r>
          </w:p>
        </w:tc>
        <w:tc>
          <w:tcPr>
            <w:tcW w:type="dxa" w:w="368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"Can you demonstrate MFA on every privileged access path for your NYDFS exam?"</w:t>
            </w:r>
          </w:p>
        </w:tc>
      </w:tr>
    </w:tbl>
    <w:p>
      <w:pPr>
        <w:spacing w:after="140"/>
      </w:pPr>
    </w:p>
    <w:p>
      <w:pPr>
        <w:pStyle w:val="Heading3"/>
      </w:pPr>
      <w:r>
        <w:t xml:space="preserve">What Pellera Brings</w:t>
      </w:r>
    </w:p>
    <w:p>
      <w:pPr>
        <w:pStyle w:val="ListParagraph"/>
        <w:numPr>
          <w:ilvl w:val="0"/>
          <w:numId w:val="2"/>
        </w:numPr>
        <w:spacing w:after="50"/>
      </w:pPr>
      <w:r>
        <w:rPr>
          <w:rFonts w:ascii="Arial" w:cs="Arial" w:eastAsia="Arial" w:hAnsi="Arial"/>
          <w:sz w:val="21"/>
          <w:szCs w:val="21"/>
        </w:rPr>
        <w:t xml:space="preserve">PAM assessment: map all privileged accounts with cross-entity access, validate MFA enforcement, test token isolation</w:t>
      </w:r>
    </w:p>
    <w:p>
      <w:pPr>
        <w:pStyle w:val="ListParagraph"/>
        <w:numPr>
          <w:ilvl w:val="0"/>
          <w:numId w:val="2"/>
        </w:numPr>
        <w:spacing w:after="50"/>
      </w:pPr>
      <w:r>
        <w:rPr>
          <w:rFonts w:ascii="Arial" w:cs="Arial" w:eastAsia="Arial" w:hAnsi="Arial"/>
          <w:sz w:val="21"/>
          <w:szCs w:val="21"/>
        </w:rPr>
        <w:t xml:space="preserve">ADFS segmentation review: evaluate whether identity infrastructure can be compromised laterally</w:t>
      </w:r>
    </w:p>
    <w:p>
      <w:pPr>
        <w:pStyle w:val="ListParagraph"/>
        <w:numPr>
          <w:ilvl w:val="0"/>
          <w:numId w:val="2"/>
        </w:numPr>
        <w:spacing w:after="50"/>
      </w:pPr>
      <w:r>
        <w:rPr>
          <w:rFonts w:ascii="Arial" w:cs="Arial" w:eastAsia="Arial" w:hAnsi="Arial"/>
          <w:sz w:val="21"/>
          <w:szCs w:val="21"/>
        </w:rPr>
        <w:t xml:space="preserve">Privileged access governance framework for a multi-tenant CUSO — lifecycle management when OTS engineers serve three separate regulated entities</w:t>
      </w:r>
    </w:p>
    <w:p>
      <w:pPr>
        <w:pStyle w:val="ListParagraph"/>
        <w:numPr>
          <w:ilvl w:val="0"/>
          <w:numId w:val="2"/>
        </w:numPr>
        <w:spacing w:after="50"/>
      </w:pPr>
      <w:r>
        <w:rPr>
          <w:rFonts w:ascii="Arial" w:cs="Arial" w:eastAsia="Arial" w:hAnsi="Arial"/>
          <w:sz w:val="21"/>
          <w:szCs w:val="21"/>
        </w:rPr>
        <w:t xml:space="preserve">NYDFS 23 NYCRR 500 compliance validation for FourLeaf’s privileged access controls</w:t>
      </w:r>
    </w:p>
    <w:p>
      <w:r>
        <w:br w:type="page"/>
      </w:r>
    </w:p>
    <w:p>
      <w:pPr>
        <w:shd w:fill="1B3A5C" w:val="clear"/>
        <w:spacing w:after="100" w:before="200"/>
      </w:pPr>
      <w:r>
        <w:rPr>
          <w:rFonts w:ascii="Arial" w:cs="Arial" w:eastAsia="Arial" w:hAnsi="Arial"/>
          <w:b/>
          <w:bCs/>
          <w:color w:val="FFFFFF"/>
          <w:sz w:val="22"/>
          <w:szCs w:val="22"/>
        </w:rPr>
        <w:t xml:space="preserve">  TOPIC 3: ENTERPRISE LOGGING / OBSERVABILITY</w:t>
      </w:r>
    </w:p>
    <w:p>
      <w:pPr>
        <w:spacing w:after="140"/>
      </w:pPr>
    </w:p>
    <w:p>
      <w:pPr>
        <w:spacing w:after="100"/>
      </w:pPr>
      <w:r>
        <w:rPr>
          <w:rFonts w:ascii="Arial" w:cs="Arial" w:eastAsia="Arial" w:hAnsi="Arial"/>
          <w:b/>
          <w:bCs/>
          <w:sz w:val="21"/>
          <w:szCs w:val="21"/>
        </w:rPr>
        <w:t xml:space="preserve">Time allocation: </w:t>
      </w:r>
      <w:r>
        <w:rPr>
          <w:rFonts w:ascii="Arial" w:cs="Arial" w:eastAsia="Arial" w:hAnsi="Arial"/>
          <w:sz w:val="21"/>
          <w:szCs w:val="21"/>
        </w:rPr>
        <w:t xml:space="preserve">15 minutes  |  Frame as the connective tissue between BCDR and PAM. Without unified observability, you can’t detect the attack, can’t sequence the recovery, and can’t prove compliance.</w:t>
      </w:r>
    </w:p>
    <w:p>
      <w:pPr>
        <w:spacing w:after="140"/>
      </w:pPr>
    </w:p>
    <w:p>
      <w:pPr>
        <w:pStyle w:val="Heading3"/>
      </w:pPr>
      <w:r>
        <w:t xml:space="preserve">Ed’s Framework Connection</w:t>
      </w:r>
    </w:p>
    <w:p>
      <w:pPr>
        <w:pBdr>
          <w:left w:val="single" w:color="2E75B6" w:sz="8" w:space="8"/>
        </w:pBdr>
        <w:spacing w:after="80" w:before="80"/>
        <w:ind w:left="400" w:right="400"/>
      </w:pPr>
      <w:r>
        <w:rPr>
          <w:rFonts w:ascii="Arial" w:cs="Arial" w:eastAsia="Arial" w:hAnsi="Arial"/>
          <w:i/>
          <w:iCs/>
          <w:color w:val="444444"/>
          <w:sz w:val="20"/>
          <w:szCs w:val="20"/>
        </w:rPr>
        <w:t xml:space="preserve">“Disaster recovery requires verification, not just automation. A recovery approach that cannot be verified is often indistinguishable from failure itself.”</w:t>
      </w:r>
      <w:r>
        <w:rPr>
          <w:rFonts w:ascii="Arial" w:cs="Arial" w:eastAsia="Arial" w:hAnsi="Arial"/>
          <w:color w:val="888888"/>
          <w:sz w:val="18"/>
          <w:szCs w:val="18"/>
        </w:rPr>
        <w:t xml:space="preserve">  — Ed Bednar, “Defining Survival,” Feb 2026</w:t>
      </w:r>
    </w:p>
    <w:p>
      <w:pPr>
        <w:spacing w:after="100"/>
      </w:pPr>
      <w:r>
        <w:rPr>
          <w:rFonts w:ascii="Arial" w:cs="Arial" w:eastAsia="Arial" w:hAnsi="Arial"/>
          <w:sz w:val="21"/>
          <w:szCs w:val="21"/>
        </w:rPr>
        <w:t xml:space="preserve">Verification requires observability. If you can’t see it, you can’t verify it recovered correctly. And our OSINT shows significant parts of the infrastructure that may not be in the monitoring scope.</w:t>
      </w:r>
    </w:p>
    <w:p>
      <w:pPr>
        <w:spacing w:after="140"/>
      </w:pPr>
    </w:p>
    <w:p>
      <w:pPr>
        <w:pStyle w:val="Heading3"/>
      </w:pPr>
      <w:r>
        <w:t xml:space="preserve">OSINT Findings That Anchor the Discussion</w:t>
      </w:r>
    </w:p>
    <w:p>
      <w:pPr>
        <w:spacing w:after="1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3680"/>
      </w:tblGrid>
      <w:tr>
        <w:tc>
          <w:tcPr>
            <w:tcW w:type="dxa" w:w="300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pPr>
              <w:spacing w:after="40"/>
            </w:pPr>
            <w:r>
              <w:rPr>
                <w:rFonts w:ascii="Arial" w:cs="Arial" w:eastAsia="Arial" w:hAnsi="Arial"/>
                <w:b/>
                <w:bCs/>
                <w:color w:val="FFFFFF"/>
                <w:sz w:val="18"/>
                <w:szCs w:val="18"/>
              </w:rPr>
              <w:t xml:space="preserve">Finding</w:t>
            </w:r>
          </w:p>
        </w:tc>
        <w:tc>
          <w:tcPr>
            <w:tcW w:type="dxa" w:w="340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pPr>
              <w:spacing w:after="40"/>
            </w:pPr>
            <w:r>
              <w:rPr>
                <w:rFonts w:ascii="Arial" w:cs="Arial" w:eastAsia="Arial" w:hAnsi="Arial"/>
                <w:b/>
                <w:bCs/>
                <w:color w:val="FFFFFF"/>
                <w:sz w:val="18"/>
                <w:szCs w:val="18"/>
              </w:rPr>
              <w:t xml:space="preserve">Logging/Observability Implication</w:t>
            </w:r>
          </w:p>
        </w:tc>
        <w:tc>
          <w:tcPr>
            <w:tcW w:type="dxa" w:w="368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pPr>
              <w:spacing w:after="40"/>
            </w:pPr>
            <w:r>
              <w:rPr>
                <w:rFonts w:ascii="Arial" w:cs="Arial" w:eastAsia="Arial" w:hAnsi="Arial"/>
                <w:b/>
                <w:bCs/>
                <w:color w:val="FFFFFF"/>
                <w:sz w:val="18"/>
                <w:szCs w:val="18"/>
              </w:rPr>
              <w:t xml:space="preserve">Question for Ed</w:t>
            </w:r>
          </w:p>
        </w:tc>
      </w:tr>
      <w:tr>
        <w:tc>
          <w:tcPr>
            <w:tcW w:type="dxa" w:w="30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30+ confirmed technology vendors across the consortium</w:t>
            </w:r>
          </w:p>
        </w:tc>
        <w:tc>
          <w:tcPr>
            <w:tcW w:type="dxa" w:w="34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Each generates logs in different formats, retention policies, and locations. Palo Alto, Cisco ASA, M365, AWS, Azure, GCP, Proofpoint, F5, Citrix, Cloudflare, Fiserv DNA...</w:t>
            </w:r>
          </w:p>
        </w:tc>
        <w:tc>
          <w:tcPr>
            <w:tcW w:type="dxa" w:w="368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"How many of these feed into a single pane of glass today?"</w:t>
            </w:r>
          </w:p>
        </w:tc>
      </w:tr>
      <w:tr>
        <w:tc>
          <w:tcPr>
            <w:tcW w:type="dxa" w:w="30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isoc.open-techs.com confirmed (InfoSec Operations Center)</w:t>
            </w:r>
          </w:p>
        </w:tc>
        <w:tc>
          <w:tcPr>
            <w:tcW w:type="dxa" w:w="34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OTS has a SOC function — but does it have unified visibility across all platforms?</w:t>
            </w:r>
          </w:p>
        </w:tc>
        <w:tc>
          <w:tcPr>
            <w:tcW w:type="dxa" w:w="368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"Does your ISOC correlate events across Palo Alto, Cisco ASA, and M365 in real time?"</w:t>
            </w:r>
          </w:p>
        </w:tc>
      </w:tr>
      <w:tr>
        <w:tc>
          <w:tcPr>
            <w:tcW w:type="dxa" w:w="30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Shodan: 14 exposed services on legacy bethpagefcu.com certs</w:t>
            </w:r>
          </w:p>
        </w:tc>
        <w:tc>
          <w:tcPr>
            <w:tcW w:type="dxa" w:w="34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Are these generating alerts? Or have they aged out of monitoring?</w:t>
            </w:r>
          </w:p>
        </w:tc>
        <w:tc>
          <w:tcPr>
            <w:tcW w:type="dxa" w:w="368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"Are your Shodan-visible legacy endpoints feeding into your SIEM?"</w:t>
            </w:r>
          </w:p>
        </w:tc>
      </w:tr>
      <w:tr>
        <w:tc>
          <w:tcPr>
            <w:tcW w:type="dxa" w:w="30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bethpage.retired.open-techs.com + 85+ bethpagefcu.com subdomains</w:t>
            </w:r>
          </w:p>
        </w:tc>
        <w:tc>
          <w:tcPr>
            <w:tcW w:type="dxa" w:w="34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Retired and legacy assets are the #1 monitoring blind spot</w:t>
            </w:r>
          </w:p>
        </w:tc>
        <w:tc>
          <w:tcPr>
            <w:tcW w:type="dxa" w:w="368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"How do decommissioned assets get removed from your logging pipeline?"</w:t>
            </w:r>
          </w:p>
        </w:tc>
      </w:tr>
      <w:tr>
        <w:tc>
          <w:tcPr>
            <w:tcW w:type="dxa" w:w="30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Per-CU mail relays (mail2.bp, mail2.bl) + 3 cloud providers</w:t>
            </w:r>
          </w:p>
        </w:tc>
        <w:tc>
          <w:tcPr>
            <w:tcW w:type="dxa" w:w="34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Entity-specific log streams need correlation for both security and per-CU regulatory reporting</w:t>
            </w:r>
          </w:p>
        </w:tc>
        <w:tc>
          <w:tcPr>
            <w:tcW w:type="dxa" w:w="368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"Can you produce a per-CU compliance view from a unified platform?"</w:t>
            </w:r>
          </w:p>
        </w:tc>
      </w:tr>
    </w:tbl>
    <w:p>
      <w:pPr>
        <w:spacing w:after="140"/>
      </w:pPr>
    </w:p>
    <w:p>
      <w:pPr>
        <w:pStyle w:val="Heading3"/>
      </w:pPr>
      <w:r>
        <w:t xml:space="preserve">What Pellera Brings</w:t>
      </w:r>
    </w:p>
    <w:p>
      <w:pPr>
        <w:pStyle w:val="ListParagraph"/>
        <w:numPr>
          <w:ilvl w:val="0"/>
          <w:numId w:val="2"/>
        </w:numPr>
        <w:spacing w:after="50"/>
      </w:pPr>
      <w:r>
        <w:rPr>
          <w:rFonts w:ascii="Arial" w:cs="Arial" w:eastAsia="Arial" w:hAnsi="Arial"/>
          <w:sz w:val="21"/>
          <w:szCs w:val="21"/>
        </w:rPr>
        <w:t xml:space="preserve">Logging architecture assessment: map current log sources against confirmed infrastructure, identify gaps</w:t>
      </w:r>
    </w:p>
    <w:p>
      <w:pPr>
        <w:pStyle w:val="ListParagraph"/>
        <w:numPr>
          <w:ilvl w:val="0"/>
          <w:numId w:val="2"/>
        </w:numPr>
        <w:spacing w:after="50"/>
      </w:pPr>
      <w:r>
        <w:rPr>
          <w:rFonts w:ascii="Arial" w:cs="Arial" w:eastAsia="Arial" w:hAnsi="Arial"/>
          <w:sz w:val="21"/>
          <w:szCs w:val="21"/>
        </w:rPr>
        <w:t xml:space="preserve">Managed SOC / MDR: 24/7 monitoring with per-CU compliance reporting and unified correlation</w:t>
      </w:r>
    </w:p>
    <w:p>
      <w:pPr>
        <w:pStyle w:val="ListParagraph"/>
        <w:numPr>
          <w:ilvl w:val="0"/>
          <w:numId w:val="2"/>
        </w:numPr>
        <w:spacing w:after="50"/>
      </w:pPr>
      <w:r>
        <w:rPr>
          <w:rFonts w:ascii="Arial" w:cs="Arial" w:eastAsia="Arial" w:hAnsi="Arial"/>
          <w:sz w:val="21"/>
          <w:szCs w:val="21"/>
        </w:rPr>
        <w:t xml:space="preserve">SIEM/XDR integration for the confirmed stack: Palo Alto, M365, AWS CloudTrail, Azure AD, Cisco ASA</w:t>
      </w:r>
    </w:p>
    <w:p>
      <w:pPr>
        <w:pStyle w:val="ListParagraph"/>
        <w:numPr>
          <w:ilvl w:val="0"/>
          <w:numId w:val="2"/>
        </w:numPr>
        <w:spacing w:after="50"/>
      </w:pPr>
      <w:r>
        <w:rPr>
          <w:rFonts w:ascii="Arial" w:cs="Arial" w:eastAsia="Arial" w:hAnsi="Arial"/>
          <w:sz w:val="21"/>
          <w:szCs w:val="21"/>
        </w:rPr>
        <w:t xml:space="preserve">Observability as the verification layer Ed’s DR framework requires</w:t>
      </w:r>
    </w:p>
    <w:p>
      <w:r>
        <w:br w:type="page"/>
      </w:r>
    </w:p>
    <w:p>
      <w:pPr>
        <w:shd w:fill="1B3A5C" w:val="clear"/>
        <w:spacing w:after="100" w:before="200"/>
      </w:pPr>
      <w:r>
        <w:rPr>
          <w:rFonts w:ascii="Arial" w:cs="Arial" w:eastAsia="Arial" w:hAnsi="Arial"/>
          <w:b/>
          <w:bCs/>
          <w:color w:val="FFFFFF"/>
          <w:sz w:val="22"/>
          <w:szCs w:val="22"/>
        </w:rPr>
        <w:t xml:space="preserve">  TOPIC 4: ENDPOINT PROTECTION</w:t>
      </w:r>
    </w:p>
    <w:p>
      <w:pPr>
        <w:spacing w:after="140"/>
      </w:pPr>
    </w:p>
    <w:p>
      <w:pPr>
        <w:spacing w:after="100"/>
      </w:pPr>
      <w:r>
        <w:rPr>
          <w:rFonts w:ascii="Arial" w:cs="Arial" w:eastAsia="Arial" w:hAnsi="Arial"/>
          <w:b/>
          <w:bCs/>
          <w:sz w:val="21"/>
          <w:szCs w:val="21"/>
        </w:rPr>
        <w:t xml:space="preserve">Time allocation: </w:t>
      </w:r>
      <w:r>
        <w:rPr>
          <w:rFonts w:ascii="Arial" w:cs="Arial" w:eastAsia="Arial" w:hAnsi="Arial"/>
          <w:sz w:val="21"/>
          <w:szCs w:val="21"/>
        </w:rPr>
        <w:t xml:space="preserve">10 minutes  |  Lighter touch — OSINT gives us less endpoint visibility than the other three topics. Frame around what we do know and the growth vector.</w:t>
      </w:r>
    </w:p>
    <w:p>
      <w:pPr>
        <w:spacing w:after="140"/>
      </w:pPr>
    </w:p>
    <w:p>
      <w:pPr>
        <w:pStyle w:val="Heading3"/>
      </w:pPr>
      <w:r>
        <w:t xml:space="preserve">Ed’s Framework Connection</w:t>
      </w:r>
    </w:p>
    <w:p>
      <w:pPr>
        <w:spacing w:after="100"/>
      </w:pPr>
      <w:r>
        <w:rPr>
          <w:rFonts w:ascii="Arial" w:cs="Arial" w:eastAsia="Arial" w:hAnsi="Arial"/>
          <w:sz w:val="21"/>
          <w:szCs w:val="21"/>
        </w:rPr>
        <w:t xml:space="preserve">Ed’s baseline blueprint methodology maps assets hierarchically from physical hardware through OS to application. Endpoints are the outermost layer — client devices hosting browsers that execute the SPA frontend. In his model, each layer is contained within the one below it. The question is whether endpoint protection is consistently applied across that containment hierarchy — especially as the consortium rapidly expands its physical footprint.</w:t>
      </w:r>
    </w:p>
    <w:p>
      <w:pPr>
        <w:spacing w:after="140"/>
      </w:pPr>
    </w:p>
    <w:p>
      <w:pPr>
        <w:pStyle w:val="Heading3"/>
      </w:pPr>
      <w:r>
        <w:t xml:space="preserve">OSINT Findings That Anchor the Discussion</w:t>
      </w:r>
    </w:p>
    <w:p>
      <w:pPr>
        <w:spacing w:after="1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3680"/>
      </w:tblGrid>
      <w:tr>
        <w:tc>
          <w:tcPr>
            <w:tcW w:type="dxa" w:w="300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pPr>
              <w:spacing w:after="40"/>
            </w:pPr>
            <w:r>
              <w:rPr>
                <w:rFonts w:ascii="Arial" w:cs="Arial" w:eastAsia="Arial" w:hAnsi="Arial"/>
                <w:b/>
                <w:bCs/>
                <w:color w:val="FFFFFF"/>
                <w:sz w:val="18"/>
                <w:szCs w:val="18"/>
              </w:rPr>
              <w:t xml:space="preserve">Finding</w:t>
            </w:r>
          </w:p>
        </w:tc>
        <w:tc>
          <w:tcPr>
            <w:tcW w:type="dxa" w:w="340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pPr>
              <w:spacing w:after="40"/>
            </w:pPr>
            <w:r>
              <w:rPr>
                <w:rFonts w:ascii="Arial" w:cs="Arial" w:eastAsia="Arial" w:hAnsi="Arial"/>
                <w:b/>
                <w:bCs/>
                <w:color w:val="FFFFFF"/>
                <w:sz w:val="18"/>
                <w:szCs w:val="18"/>
              </w:rPr>
              <w:t xml:space="preserve">Endpoint Implication</w:t>
            </w:r>
          </w:p>
        </w:tc>
        <w:tc>
          <w:tcPr>
            <w:tcW w:type="dxa" w:w="368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pPr>
              <w:spacing w:after="40"/>
            </w:pPr>
            <w:r>
              <w:rPr>
                <w:rFonts w:ascii="Arial" w:cs="Arial" w:eastAsia="Arial" w:hAnsi="Arial"/>
                <w:b/>
                <w:bCs/>
                <w:color w:val="FFFFFF"/>
                <w:sz w:val="18"/>
                <w:szCs w:val="18"/>
              </w:rPr>
              <w:t xml:space="preserve">Question for Ed</w:t>
            </w:r>
          </w:p>
        </w:tc>
      </w:tr>
      <w:tr>
        <w:tc>
          <w:tcPr>
            <w:tcW w:type="dxa" w:w="30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Jamf confirmed via TXT on open-techs.com</w:t>
            </w:r>
          </w:p>
        </w:tc>
        <w:tc>
          <w:tcPr>
            <w:tcW w:type="dxa" w:w="34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Apple device management in place = mixed OS fleet (Apple endpoints + Windows servers confirmed via Shodan)</w:t>
            </w:r>
          </w:p>
        </w:tc>
        <w:tc>
          <w:tcPr>
            <w:tcW w:type="dxa" w:w="368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"Is EPP/EDR standardized across the consortium, or does each CU run their own?"</w:t>
            </w:r>
          </w:p>
        </w:tc>
      </w:tr>
      <w:tr>
        <w:tc>
          <w:tcPr>
            <w:tcW w:type="dxa" w:w="30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Bellco: 6+ new branches opened 2023–2025</w:t>
            </w:r>
          </w:p>
        </w:tc>
        <w:tc>
          <w:tcPr>
            <w:tcW w:type="dxa" w:w="34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Fast-growing endpoint fleet. Each branch = workstations, ATMs, network equipment</w:t>
            </w:r>
          </w:p>
        </w:tc>
        <w:tc>
          <w:tcPr>
            <w:tcW w:type="dxa" w:w="368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"How are new branch deployments onboarded for endpoint protection? Is there a standard image?"</w:t>
            </w:r>
          </w:p>
        </w:tc>
      </w:tr>
      <w:tr>
        <w:tc>
          <w:tcPr>
            <w:tcW w:type="dxa" w:w="30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Citrix gateway live on bethpagefcu.com (4 load-balanced IPs)</w:t>
            </w:r>
          </w:p>
        </w:tc>
        <w:tc>
          <w:tcPr>
            <w:tcW w:type="dxa" w:w="34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If serving VDI sessions, the virtual desktop endpoint security model is critical — Citrix Bleed (CVE-2023-4966) context</w:t>
            </w:r>
          </w:p>
        </w:tc>
        <w:tc>
          <w:tcPr>
            <w:tcW w:type="dxa" w:w="368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"What’s the EPP model inside your Citrix VDI environment?"</w:t>
            </w:r>
          </w:p>
        </w:tc>
      </w:tr>
      <w:tr>
        <w:tc>
          <w:tcPr>
            <w:tcW w:type="dxa" w:w="30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KnowBe4 confirmed at FourLeaf</w:t>
            </w:r>
          </w:p>
        </w:tc>
        <w:tc>
          <w:tcPr>
            <w:tcW w:type="dxa" w:w="34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Security awareness present but awareness without endpoint protection is incomplete</w:t>
            </w:r>
          </w:p>
        </w:tc>
        <w:tc>
          <w:tcPr>
            <w:tcW w:type="dxa" w:w="368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"Is KnowBe4 deployed consortium-wide, or just at FourLeaf?"</w:t>
            </w:r>
          </w:p>
        </w:tc>
      </w:tr>
      <w:tr>
        <w:tc>
          <w:tcPr>
            <w:tcW w:type="dxa" w:w="30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2,000+ employees across CO, MD, NY/NJ</w:t>
            </w:r>
          </w:p>
        </w:tc>
        <w:tc>
          <w:tcPr>
            <w:tcW w:type="dxa" w:w="34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Geographically distributed workforce with multiple remote access methods</w:t>
            </w:r>
          </w:p>
        </w:tc>
        <w:tc>
          <w:tcPr>
            <w:tcW w:type="dxa" w:w="368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"With GlobalProtect, Cisco ASA, and Citrix all in play, how do you ensure consistent endpoint posture checks before granting access?"</w:t>
            </w:r>
          </w:p>
        </w:tc>
      </w:tr>
    </w:tbl>
    <w:p>
      <w:pPr>
        <w:spacing w:after="140"/>
      </w:pPr>
    </w:p>
    <w:p>
      <w:pPr>
        <w:pStyle w:val="Heading3"/>
      </w:pPr>
      <w:r>
        <w:t xml:space="preserve">What Pellera Brings</w:t>
      </w:r>
    </w:p>
    <w:p>
      <w:pPr>
        <w:pStyle w:val="ListParagraph"/>
        <w:numPr>
          <w:ilvl w:val="0"/>
          <w:numId w:val="2"/>
        </w:numPr>
        <w:spacing w:after="50"/>
      </w:pPr>
      <w:r>
        <w:rPr>
          <w:rFonts w:ascii="Arial" w:cs="Arial" w:eastAsia="Arial" w:hAnsi="Arial"/>
          <w:sz w:val="21"/>
          <w:szCs w:val="21"/>
        </w:rPr>
        <w:t xml:space="preserve">Endpoint protection assessment: coverage audit across consortium entities, branch locations, and VDI</w:t>
      </w:r>
    </w:p>
    <w:p>
      <w:pPr>
        <w:pStyle w:val="ListParagraph"/>
        <w:numPr>
          <w:ilvl w:val="0"/>
          <w:numId w:val="2"/>
        </w:numPr>
        <w:spacing w:after="50"/>
      </w:pPr>
      <w:r>
        <w:rPr>
          <w:rFonts w:ascii="Arial" w:cs="Arial" w:eastAsia="Arial" w:hAnsi="Arial"/>
          <w:sz w:val="21"/>
          <w:szCs w:val="21"/>
        </w:rPr>
        <w:t xml:space="preserve">EDR deployment and tuning for mixed OS environments (Apple + Windows)</w:t>
      </w:r>
    </w:p>
    <w:p>
      <w:pPr>
        <w:pStyle w:val="ListParagraph"/>
        <w:numPr>
          <w:ilvl w:val="0"/>
          <w:numId w:val="2"/>
        </w:numPr>
        <w:spacing w:after="50"/>
      </w:pPr>
      <w:r>
        <w:rPr>
          <w:rFonts w:ascii="Arial" w:cs="Arial" w:eastAsia="Arial" w:hAnsi="Arial"/>
          <w:sz w:val="21"/>
          <w:szCs w:val="21"/>
        </w:rPr>
        <w:t xml:space="preserve">Integration with existing Palo Alto Prisma Access for posture-based conditional access</w:t>
      </w:r>
    </w:p>
    <w:p>
      <w:r>
        <w:br w:type="page"/>
      </w:r>
    </w:p>
    <w:p>
      <w:pPr>
        <w:shd w:fill="1B3A5C" w:val="clear"/>
        <w:spacing w:after="100" w:before="200"/>
      </w:pPr>
      <w:r>
        <w:rPr>
          <w:rFonts w:ascii="Arial" w:cs="Arial" w:eastAsia="Arial" w:hAnsi="Arial"/>
          <w:b/>
          <w:bCs/>
          <w:color w:val="FFFFFF"/>
          <w:sz w:val="22"/>
          <w:szCs w:val="22"/>
        </w:rPr>
        <w:t xml:space="preserve">  RECOMMENDED EBC AGENDA</w:t>
      </w:r>
    </w:p>
    <w:p>
      <w:pPr>
        <w:spacing w:after="1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1600"/>
        <w:gridCol w:w="3680"/>
      </w:tblGrid>
      <w:tr>
        <w:tc>
          <w:tcPr>
            <w:tcW w:type="dxa" w:w="140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pPr>
              <w:spacing w:after="40"/>
            </w:pPr>
            <w:r>
              <w:rPr>
                <w:rFonts w:ascii="Arial" w:cs="Arial" w:eastAsia="Arial" w:hAnsi="Arial"/>
                <w:b/>
                <w:bCs/>
                <w:color w:val="FFFFFF"/>
                <w:sz w:val="18"/>
                <w:szCs w:val="18"/>
              </w:rPr>
              <w:t xml:space="preserve">Time</w:t>
            </w:r>
          </w:p>
        </w:tc>
        <w:tc>
          <w:tcPr>
            <w:tcW w:type="dxa" w:w="340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pPr>
              <w:spacing w:after="40"/>
            </w:pPr>
            <w:r>
              <w:rPr>
                <w:rFonts w:ascii="Arial" w:cs="Arial" w:eastAsia="Arial" w:hAnsi="Arial"/>
                <w:b/>
                <w:bCs/>
                <w:color w:val="FFFFFF"/>
                <w:sz w:val="18"/>
                <w:szCs w:val="18"/>
              </w:rPr>
              <w:t xml:space="preserve">Topic</w:t>
            </w:r>
          </w:p>
        </w:tc>
        <w:tc>
          <w:tcPr>
            <w:tcW w:type="dxa" w:w="160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pPr>
              <w:spacing w:after="40"/>
            </w:pPr>
            <w:r>
              <w:rPr>
                <w:rFonts w:ascii="Arial" w:cs="Arial" w:eastAsia="Arial" w:hAnsi="Arial"/>
                <w:b/>
                <w:bCs/>
                <w:color w:val="FFFFFF"/>
                <w:sz w:val="18"/>
                <w:szCs w:val="18"/>
              </w:rPr>
              <w:t xml:space="preserve">Lead</w:t>
            </w:r>
          </w:p>
        </w:tc>
        <w:tc>
          <w:tcPr>
            <w:tcW w:type="dxa" w:w="3680"/>
            <w:gridSpan w:val="1"/>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pPr>
              <w:spacing w:after="40"/>
            </w:pPr>
            <w:r>
              <w:rPr>
                <w:rFonts w:ascii="Arial" w:cs="Arial" w:eastAsia="Arial" w:hAnsi="Arial"/>
                <w:b/>
                <w:bCs/>
                <w:color w:val="FFFFFF"/>
                <w:sz w:val="18"/>
                <w:szCs w:val="18"/>
              </w:rPr>
              <w:t xml:space="preserve">Key Moment</w:t>
            </w:r>
          </w:p>
        </w:tc>
      </w:tr>
      <w:tr>
        <w:tc>
          <w:tcPr>
            <w:tcW w:type="dxa" w:w="14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0:00–0:15</w:t>
            </w:r>
          </w:p>
        </w:tc>
        <w:tc>
          <w:tcPr>
            <w:tcW w:type="dxa" w:w="34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"What an Adversary Sees" — Walk through OSINT findings, show infrastructure maps</w:t>
            </w:r>
          </w:p>
        </w:tc>
        <w:tc>
          <w:tcPr>
            <w:tcW w:type="dxa" w:w="16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You</w:t>
            </w:r>
          </w:p>
        </w:tc>
        <w:tc>
          <w:tcPr>
            <w:tcW w:type="dxa" w:w="368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Show DNSDumpster map of 12.178.113.0/24</w:t>
            </w:r>
          </w:p>
        </w:tc>
      </w:tr>
      <w:tr>
        <w:tc>
          <w:tcPr>
            <w:tcW w:type="dxa" w:w="1400"/>
            <w:gridSpan w:val="1"/>
            <w:tcBorders>
              <w:top w:val="single" w:color="CCCCCC" w:sz="1"/>
              <w:left w:val="single" w:color="CCCCCC" w:sz="1"/>
              <w:bottom w:val="single" w:color="CCCCCC" w:sz="1"/>
              <w:right w:val="single" w:color="CCCCCC" w:sz="1"/>
            </w:tcBorders>
            <w:shd w:fill="E8F5E9" w:val="clear"/>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0:15–0:35</w:t>
            </w:r>
          </w:p>
        </w:tc>
        <w:tc>
          <w:tcPr>
            <w:tcW w:type="dxa" w:w="3400"/>
            <w:gridSpan w:val="1"/>
            <w:tcBorders>
              <w:top w:val="single" w:color="CCCCCC" w:sz="1"/>
              <w:left w:val="single" w:color="CCCCCC" w:sz="1"/>
              <w:bottom w:val="single" w:color="CCCCCC" w:sz="1"/>
              <w:right w:val="single" w:color="CCCCCC" w:sz="1"/>
            </w:tcBorders>
            <w:shd w:fill="E8F5E9" w:val="clear"/>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Ransomware / BCDR Deep Dive</w:t>
            </w:r>
          </w:p>
        </w:tc>
        <w:tc>
          <w:tcPr>
            <w:tcW w:type="dxa" w:w="1600"/>
            <w:gridSpan w:val="1"/>
            <w:tcBorders>
              <w:top w:val="single" w:color="CCCCCC" w:sz="1"/>
              <w:left w:val="single" w:color="CCCCCC" w:sz="1"/>
              <w:bottom w:val="single" w:color="CCCCCC" w:sz="1"/>
              <w:right w:val="single" w:color="CCCCCC" w:sz="1"/>
            </w:tcBorders>
            <w:shd w:fill="E8F5E9" w:val="clear"/>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Technical SE</w:t>
            </w:r>
          </w:p>
        </w:tc>
        <w:tc>
          <w:tcPr>
            <w:tcW w:type="dxa" w:w="3680"/>
            <w:gridSpan w:val="1"/>
            <w:tcBorders>
              <w:top w:val="single" w:color="CCCCCC" w:sz="1"/>
              <w:left w:val="single" w:color="CCCCCC" w:sz="1"/>
              <w:bottom w:val="single" w:color="CCCCCC" w:sz="1"/>
              <w:right w:val="single" w:color="CCCCCC" w:sz="1"/>
            </w:tcBorders>
            <w:shd w:fill="E8F5E9" w:val="clear"/>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Quote Ed’s DR ordering principle, ask about recovery sequencing on the shared subnet</w:t>
            </w:r>
          </w:p>
        </w:tc>
      </w:tr>
      <w:tr>
        <w:tc>
          <w:tcPr>
            <w:tcW w:type="dxa" w:w="1400"/>
            <w:gridSpan w:val="1"/>
            <w:tcBorders>
              <w:top w:val="single" w:color="CCCCCC" w:sz="1"/>
              <w:left w:val="single" w:color="CCCCCC" w:sz="1"/>
              <w:bottom w:val="single" w:color="CCCCCC" w:sz="1"/>
              <w:right w:val="single" w:color="CCCCCC" w:sz="1"/>
            </w:tcBorders>
            <w:shd w:fill="E8F5E9" w:val="clear"/>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0:35–0:55</w:t>
            </w:r>
          </w:p>
        </w:tc>
        <w:tc>
          <w:tcPr>
            <w:tcW w:type="dxa" w:w="3400"/>
            <w:gridSpan w:val="1"/>
            <w:tcBorders>
              <w:top w:val="single" w:color="CCCCCC" w:sz="1"/>
              <w:left w:val="single" w:color="CCCCCC" w:sz="1"/>
              <w:bottom w:val="single" w:color="CCCCCC" w:sz="1"/>
              <w:right w:val="single" w:color="CCCCCC" w:sz="1"/>
            </w:tcBorders>
            <w:shd w:fill="E8F5E9" w:val="clear"/>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PAM / IAM Deep Dive</w:t>
            </w:r>
          </w:p>
        </w:tc>
        <w:tc>
          <w:tcPr>
            <w:tcW w:type="dxa" w:w="1600"/>
            <w:gridSpan w:val="1"/>
            <w:tcBorders>
              <w:top w:val="single" w:color="CCCCCC" w:sz="1"/>
              <w:left w:val="single" w:color="CCCCCC" w:sz="1"/>
              <w:bottom w:val="single" w:color="CCCCCC" w:sz="1"/>
              <w:right w:val="single" w:color="CCCCCC" w:sz="1"/>
            </w:tcBorders>
            <w:shd w:fill="E8F5E9" w:val="clear"/>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Technical SE</w:t>
            </w:r>
          </w:p>
        </w:tc>
        <w:tc>
          <w:tcPr>
            <w:tcW w:type="dxa" w:w="3680"/>
            <w:gridSpan w:val="1"/>
            <w:tcBorders>
              <w:top w:val="single" w:color="CCCCCC" w:sz="1"/>
              <w:left w:val="single" w:color="CCCCCC" w:sz="1"/>
              <w:bottom w:val="single" w:color="CCCCCC" w:sz="1"/>
              <w:right w:val="single" w:color="CCCCCC" w:sz="1"/>
            </w:tcBorders>
            <w:shd w:fill="E8F5E9" w:val="clear"/>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Cross-CU ADFS risk, Golden SAML, WHOIS-exposed admin identities, MFA on legacy VPN</w:t>
            </w:r>
          </w:p>
        </w:tc>
      </w:tr>
      <w:tr>
        <w:tc>
          <w:tcPr>
            <w:tcW w:type="dxa" w:w="14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0:55–1:10</w:t>
            </w:r>
          </w:p>
        </w:tc>
        <w:tc>
          <w:tcPr>
            <w:tcW w:type="dxa" w:w="34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Logging / Observability</w:t>
            </w:r>
          </w:p>
        </w:tc>
        <w:tc>
          <w:tcPr>
            <w:tcW w:type="dxa" w:w="16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Technical SE</w:t>
            </w:r>
          </w:p>
        </w:tc>
        <w:tc>
          <w:tcPr>
            <w:tcW w:type="dxa" w:w="368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"Can you see all of this today?" Frame as verification layer for BCDR</w:t>
            </w:r>
          </w:p>
        </w:tc>
      </w:tr>
      <w:tr>
        <w:tc>
          <w:tcPr>
            <w:tcW w:type="dxa" w:w="14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1:10–1:20</w:t>
            </w:r>
          </w:p>
        </w:tc>
        <w:tc>
          <w:tcPr>
            <w:tcW w:type="dxa" w:w="34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Endpoint Protection</w:t>
            </w:r>
          </w:p>
        </w:tc>
        <w:tc>
          <w:tcPr>
            <w:tcW w:type="dxa" w:w="160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Brief touch</w:t>
            </w:r>
          </w:p>
        </w:tc>
        <w:tc>
          <w:tcPr>
            <w:tcW w:type="dxa" w:w="3680"/>
            <w:gridSpan w:val="1"/>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Branch expansion + mixed OS + Citrix VDI</w:t>
            </w:r>
          </w:p>
        </w:tc>
      </w:tr>
      <w:tr>
        <w:tc>
          <w:tcPr>
            <w:tcW w:type="dxa" w:w="1400"/>
            <w:gridSpan w:val="1"/>
            <w:tcBorders>
              <w:top w:val="single" w:color="CCCCCC" w:sz="1"/>
              <w:left w:val="single" w:color="CCCCCC" w:sz="1"/>
              <w:bottom w:val="single" w:color="CCCCCC" w:sz="1"/>
              <w:right w:val="single" w:color="CCCCCC" w:sz="1"/>
            </w:tcBorders>
            <w:shd w:fill="E8EFF5" w:val="clear"/>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1:20–1:30</w:t>
            </w:r>
          </w:p>
        </w:tc>
        <w:tc>
          <w:tcPr>
            <w:tcW w:type="dxa" w:w="3400"/>
            <w:gridSpan w:val="1"/>
            <w:tcBorders>
              <w:top w:val="single" w:color="CCCCCC" w:sz="1"/>
              <w:left w:val="single" w:color="CCCCCC" w:sz="1"/>
              <w:bottom w:val="single" w:color="CCCCCC" w:sz="1"/>
              <w:right w:val="single" w:color="CCCCCC" w:sz="1"/>
            </w:tcBorders>
            <w:shd w:fill="E8EFF5" w:val="clear"/>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Strategic Roadmap Preview + Next Steps</w:t>
            </w:r>
          </w:p>
        </w:tc>
        <w:tc>
          <w:tcPr>
            <w:tcW w:type="dxa" w:w="1600"/>
            <w:gridSpan w:val="1"/>
            <w:tcBorders>
              <w:top w:val="single" w:color="CCCCCC" w:sz="1"/>
              <w:left w:val="single" w:color="CCCCCC" w:sz="1"/>
              <w:bottom w:val="single" w:color="CCCCCC" w:sz="1"/>
              <w:right w:val="single" w:color="CCCCCC" w:sz="1"/>
            </w:tcBorders>
            <w:shd w:fill="E8EFF5" w:val="clear"/>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You</w:t>
            </w:r>
          </w:p>
        </w:tc>
        <w:tc>
          <w:tcPr>
            <w:tcW w:type="dxa" w:w="3680"/>
            <w:gridSpan w:val="1"/>
            <w:tcBorders>
              <w:top w:val="single" w:color="CCCCCC" w:sz="1"/>
              <w:left w:val="single" w:color="CCCCCC" w:sz="1"/>
              <w:bottom w:val="single" w:color="CCCCCC" w:sz="1"/>
              <w:right w:val="single" w:color="CCCCCC" w:sz="1"/>
            </w:tcBorders>
            <w:shd w:fill="E8EFF5" w:val="clear"/>
            <w:tcMar>
              <w:top w:type="dxa" w:w="50"/>
              <w:left w:type="dxa" w:w="80"/>
              <w:bottom w:type="dxa" w:w="50"/>
              <w:right w:type="dxa" w:w="80"/>
            </w:tcMar>
            <w:vAlign w:val="center"/>
          </w:tcPr>
          <w:p>
            <w:pPr>
              <w:spacing w:after="40"/>
            </w:pPr>
            <w:r>
              <w:rPr>
                <w:rFonts w:ascii="Arial" w:cs="Arial" w:eastAsia="Arial" w:hAnsi="Arial"/>
                <w:b w:val="false"/>
                <w:bCs w:val="false"/>
                <w:color w:val="333333"/>
                <w:sz w:val="18"/>
                <w:szCs w:val="18"/>
              </w:rPr>
              <w:t xml:space="preserve">Show 12-month/3-year vision from the report. Offer to contribute to Ed’s Part 5 cyber recovery thinking.</w:t>
            </w:r>
          </w:p>
        </w:tc>
      </w:tr>
    </w:tbl>
    <w:p>
      <w:pPr>
        <w:spacing w:after="140"/>
      </w:pPr>
    </w:p>
    <w:p>
      <w:pPr>
        <w:shd w:fill="1B3A5C" w:val="clear"/>
        <w:spacing w:after="100" w:before="200"/>
      </w:pPr>
      <w:r>
        <w:rPr>
          <w:rFonts w:ascii="Arial" w:cs="Arial" w:eastAsia="Arial" w:hAnsi="Arial"/>
          <w:b/>
          <w:bCs/>
          <w:color w:val="FFFFFF"/>
          <w:sz w:val="22"/>
          <w:szCs w:val="22"/>
        </w:rPr>
        <w:t xml:space="preserve">  CLOSING STRATEGY</w:t>
      </w:r>
    </w:p>
    <w:p>
      <w:pPr>
        <w:spacing w:after="140"/>
      </w:pPr>
    </w:p>
    <w:p>
      <w:pPr>
        <w:spacing w:after="100"/>
      </w:pPr>
      <w:r>
        <w:rPr>
          <w:rFonts w:ascii="Arial" w:cs="Arial" w:eastAsia="Arial" w:hAnsi="Arial"/>
          <w:b/>
          <w:bCs/>
          <w:sz w:val="21"/>
          <w:szCs w:val="21"/>
        </w:rPr>
        <w:t xml:space="preserve">The goal of this EBC is not to close a deal. </w:t>
      </w:r>
      <w:r>
        <w:rPr>
          <w:rFonts w:ascii="Arial" w:cs="Arial" w:eastAsia="Arial" w:hAnsi="Arial"/>
          <w:sz w:val="21"/>
          <w:szCs w:val="21"/>
        </w:rPr>
        <w:t xml:space="preserve">It’s to establish Pellera as the firm that understands OTS’s architecture at a level that competitors simply don’t. The OSINT report (already delivered as a consultative gift) demonstrates that. The EBC extends it into a live conversation.</w:t>
      </w:r>
    </w:p>
    <w:p>
      <w:pPr>
        <w:spacing w:after="140"/>
      </w:pPr>
    </w:p>
    <w:p>
      <w:pPr>
        <w:spacing w:after="100"/>
      </w:pPr>
      <w:r>
        <w:rPr>
          <w:rFonts w:ascii="Arial" w:cs="Arial" w:eastAsia="Arial" w:hAnsi="Arial"/>
          <w:sz w:val="21"/>
          <w:szCs w:val="21"/>
        </w:rPr>
        <w:t xml:space="preserve">Three outcomes to drive toward:</w:t>
      </w:r>
    </w:p>
    <w:p>
      <w:pPr>
        <w:pStyle w:val="ListParagraph"/>
        <w:numPr>
          <w:ilvl w:val="0"/>
          <w:numId w:val="3"/>
        </w:numPr>
        <w:spacing w:after="50"/>
      </w:pPr>
      <w:r>
        <w:rPr>
          <w:rFonts w:ascii="Arial" w:cs="Arial" w:eastAsia="Arial" w:hAnsi="Arial"/>
          <w:sz w:val="21"/>
          <w:szCs w:val="21"/>
        </w:rPr>
        <w:t xml:space="preserve">Ed acknowledges that the shared infrastructure findings are valid and worth investigating further → opens the door to a scoped pen test or architecture review</w:t>
      </w:r>
    </w:p>
    <w:p>
      <w:pPr>
        <w:pStyle w:val="ListParagraph"/>
        <w:numPr>
          <w:ilvl w:val="0"/>
          <w:numId w:val="3"/>
        </w:numPr>
        <w:spacing w:after="50"/>
      </w:pPr>
      <w:r>
        <w:rPr>
          <w:rFonts w:ascii="Arial" w:cs="Arial" w:eastAsia="Arial" w:hAnsi="Arial"/>
          <w:sz w:val="21"/>
          <w:szCs w:val="21"/>
        </w:rPr>
        <w:t xml:space="preserve">The BCDR discussion surfaces gaps in their recovery sequencing or testing → opens the door to a tabletop exercise and IR retainer</w:t>
      </w:r>
    </w:p>
    <w:p>
      <w:pPr>
        <w:pStyle w:val="ListParagraph"/>
        <w:numPr>
          <w:ilvl w:val="0"/>
          <w:numId w:val="3"/>
        </w:numPr>
        <w:spacing w:after="50"/>
      </w:pPr>
      <w:r>
        <w:rPr>
          <w:rFonts w:ascii="Arial" w:cs="Arial" w:eastAsia="Arial" w:hAnsi="Arial"/>
          <w:sz w:val="21"/>
          <w:szCs w:val="21"/>
        </w:rPr>
        <w:t xml:space="preserve">The PAM/IAM discussion reveals MFA inconsistencies across VPN platforms → opens the door to a PAM assessment, especially with NYDFS compliance pressure on FourLeaf</w:t>
      </w:r>
    </w:p>
    <w:p>
      <w:pPr>
        <w:spacing w:after="140"/>
      </w:pPr>
    </w:p>
    <w:p>
      <w:pPr>
        <w:spacing w:after="100"/>
      </w:pPr>
      <w:r>
        <w:rPr>
          <w:rFonts w:ascii="Arial" w:cs="Arial" w:eastAsia="Arial" w:hAnsi="Arial"/>
          <w:b/>
          <w:bCs/>
          <w:sz w:val="21"/>
          <w:szCs w:val="21"/>
        </w:rPr>
        <w:t xml:space="preserve">The ultimate close: </w:t>
      </w:r>
      <w:r>
        <w:rPr>
          <w:rFonts w:ascii="Arial" w:cs="Arial" w:eastAsia="Arial" w:hAnsi="Arial"/>
          <w:sz w:val="21"/>
          <w:szCs w:val="21"/>
        </w:rPr>
        <w:t xml:space="preserve">"Ed, we built this view from the outside in 3 hours. Your baseline blueprint methodology works from the inside out. Together, they’d give you the most complete picture possible. Let us help you build it."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1" w:space="4"/>
      </w:pBdr>
      <w:tabs>
        <w:tab w:val="right" w:pos="10080"/>
      </w:tabs>
    </w:pPr>
    <w:r>
      <w:rPr>
        <w:rFonts w:ascii="Arial" w:cs="Arial" w:eastAsia="Arial" w:hAnsi="Arial"/>
        <w:color w:val="BBBBBB"/>
        <w:sz w:val="13"/>
        <w:szCs w:val="13"/>
      </w:rPr>
      <w:t xml:space="preserve">Pellera Technologies — Cybersecurity Advisory</w:t>
    </w:r>
    <w:r>
      <w:rPr>
        <w:sz w:val="13"/>
        <w:szCs w:val="13"/>
      </w:rPr>
      <w:t xml:space="preserve">	</w:t>
    </w:r>
    <w:r>
      <w:rPr>
        <w:rFonts w:ascii="Arial" w:cs="Arial" w:eastAsia="Arial" w:hAnsi="Arial"/>
        <w:color w:val="BBBBBB"/>
        <w:sz w:val="13"/>
        <w:szCs w:val="13"/>
      </w:rPr>
      <w:t xml:space="preserve">Page </w:t>
    </w:r>
    <w:r>
      <w:rPr>
        <w:rFonts w:ascii="Arial" w:cs="Arial" w:eastAsia="Arial" w:hAnsi="Arial"/>
        <w:color w:val="BBBBBB"/>
        <w:sz w:val="13"/>
        <w:szCs w:val="13"/>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080"/>
      </w:tabs>
      <w:spacing w:after="120"/>
    </w:pPr>
    <w:r>
      <w:rPr>
        <w:rFonts w:ascii="Arial" w:cs="Arial" w:eastAsia="Arial" w:hAnsi="Arial"/>
        <w:b/>
        <w:bCs/>
        <w:color w:val="CC0000"/>
        <w:sz w:val="14"/>
        <w:szCs w:val="14"/>
      </w:rPr>
      <w:t xml:space="preserve">CONFIDENTIAL — Pellera Internal</w:t>
    </w:r>
    <w:r>
      <w:rPr>
        <w:rFonts w:ascii="Arial" w:cs="Arial" w:eastAsia="Arial" w:hAnsi="Arial"/>
        <w:color w:val="999999"/>
        <w:sz w:val="14"/>
        <w:szCs w:val="14"/>
      </w:rPr>
      <w:t xml:space="preserve">	OTS EBC Prep — Ed Bednar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333333"/>
      <w:sz w:val="26"/>
      <w:szCs w:val="26"/>
    </w:rPr>
  </w:style>
  <w:style w:type="paragraph" w:styleId="Heading3">
    <w:name w:val="Heading 3"/>
    <w:basedOn w:val="Normal"/>
    <w:next w:val="Normal"/>
    <w:qFormat/>
    <w:pPr>
      <w:spacing w:after="80" w:before="16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2026-04-01T20:58:25.476Z</dcterms:created>
  <dcterms:modified xsi:type="dcterms:W3CDTF">2026-04-01T20:58:25.478Z</dcterms:modified>
</cp:coreProperties>
</file>

<file path=docProps/custom.xml><?xml version="1.0" encoding="utf-8"?>
<Properties xmlns="http://schemas.openxmlformats.org/officeDocument/2006/custom-properties" xmlns:vt="http://schemas.openxmlformats.org/officeDocument/2006/docPropsVTypes"/>
</file>