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pPr>
    </w:p>
    <w:p>
      <w:pPr>
        <w:spacing w:after="60"/>
        <w:jc w:val="center"/>
      </w:pPr>
      <w:r>
        <w:rPr>
          <w:rFonts w:ascii="Arial" w:cs="Arial" w:eastAsia="Arial" w:hAnsi="Arial"/>
          <w:b/>
          <w:bCs/>
          <w:color w:val="1B3A5C"/>
          <w:sz w:val="24"/>
          <w:szCs w:val="24"/>
        </w:rPr>
        <w:t xml:space="preserve">PELLERA TECHNOLOGIES</w:t>
      </w:r>
    </w:p>
    <w:p>
      <w:pPr>
        <w:spacing w:after="60"/>
        <w:jc w:val="center"/>
      </w:pPr>
      <w:r>
        <w:rPr>
          <w:rFonts w:ascii="Arial" w:cs="Arial" w:eastAsia="Arial" w:hAnsi="Arial"/>
          <w:b/>
          <w:bCs/>
          <w:color w:val="1B3A5C"/>
          <w:sz w:val="52"/>
          <w:szCs w:val="52"/>
        </w:rPr>
        <w:t xml:space="preserve">EXECUTIVE BRIEFING CENTER</w:t>
      </w:r>
    </w:p>
    <w:p>
      <w:pPr>
        <w:spacing w:after="60"/>
        <w:jc w:val="center"/>
      </w:pPr>
      <w:r>
        <w:rPr>
          <w:rFonts w:ascii="Arial" w:cs="Arial" w:eastAsia="Arial" w:hAnsi="Arial"/>
          <w:b/>
          <w:bCs/>
          <w:color w:val="1B3A5C"/>
          <w:sz w:val="44"/>
          <w:szCs w:val="44"/>
        </w:rPr>
        <w:t xml:space="preserve">SESSION OUTLINE</w:t>
      </w:r>
    </w:p>
    <w:p>
      <w:pPr>
        <w:pBdr>
          <w:bottom w:val="single" w:color="1B3A5C" w:sz="6" w:space="8"/>
        </w:pBdr>
        <w:spacing w:after="200"/>
        <w:jc w:val="center"/>
      </w:pPr>
      <w:r>
        <w:rPr>
          <w:rFonts w:ascii="Arial" w:cs="Arial" w:eastAsia="Arial" w:hAnsi="Arial"/>
          <w:color w:val="666666"/>
          <w:sz w:val="28"/>
          <w:szCs w:val="28"/>
        </w:rPr>
        <w:t xml:space="preserve">Open Technology Solutions (OTS) Consortium</w:t>
      </w:r>
    </w:p>
    <w:p>
      <w:pPr>
        <w:spacing w:after="140"/>
      </w:pPr>
    </w:p>
    <w:p>
      <w:pPr>
        <w:spacing w:after="40"/>
        <w:jc w:val="center"/>
      </w:pPr>
      <w:r>
        <w:rPr>
          <w:rFonts w:ascii="Arial" w:cs="Arial" w:eastAsia="Arial" w:hAnsi="Arial"/>
          <w:color w:val="888888"/>
          <w:sz w:val="22"/>
          <w:szCs w:val="22"/>
        </w:rPr>
        <w:t xml:space="preserve">Half-Day Session  •  3.5 Hours</w:t>
      </w:r>
    </w:p>
    <w:p>
      <w:pPr>
        <w:spacing w:after="140"/>
      </w:pPr>
    </w:p>
    <w:p>
      <w:pPr>
        <w:spacing w:after="40"/>
        <w:jc w:val="center"/>
      </w:pPr>
      <w:r>
        <w:rPr>
          <w:rFonts w:ascii="Arial" w:cs="Arial" w:eastAsia="Arial" w:hAnsi="Arial"/>
          <w:b/>
          <w:bCs/>
          <w:color w:val="1B3A5C"/>
          <w:sz w:val="24"/>
          <w:szCs w:val="24"/>
        </w:rPr>
        <w:t xml:space="preserve">Pellera Practice Leaders</w:t>
      </w:r>
    </w:p>
    <w:p>
      <w:pPr>
        <w:spacing w:after="40"/>
        <w:jc w:val="center"/>
      </w:pPr>
      <w:r>
        <w:rPr>
          <w:rFonts w:ascii="Arial" w:cs="Arial" w:eastAsia="Arial" w:hAnsi="Arial"/>
          <w:b/>
          <w:bCs/>
          <w:color w:val="1565C0"/>
          <w:sz w:val="20"/>
          <w:szCs w:val="20"/>
        </w:rPr>
        <w:t xml:space="preserve">  Cybersecurity  •</w:t>
      </w:r>
      <w:r>
        <w:rPr>
          <w:rFonts w:ascii="Arial" w:cs="Arial" w:eastAsia="Arial" w:hAnsi="Arial"/>
          <w:b/>
          <w:bCs/>
          <w:color w:val="2E7D32"/>
          <w:sz w:val="20"/>
          <w:szCs w:val="20"/>
        </w:rPr>
        <w:t xml:space="preserve">  Infrastructure  •</w:t>
      </w:r>
      <w:r>
        <w:rPr>
          <w:rFonts w:ascii="Arial" w:cs="Arial" w:eastAsia="Arial" w:hAnsi="Arial"/>
          <w:b/>
          <w:bCs/>
          <w:color w:val="6A1B9A"/>
          <w:sz w:val="20"/>
          <w:szCs w:val="20"/>
        </w:rPr>
        <w:t xml:space="preserve">  Digital Workplace  •</w:t>
      </w:r>
      <w:r>
        <w:rPr>
          <w:rFonts w:ascii="Arial" w:cs="Arial" w:eastAsia="Arial" w:hAnsi="Arial"/>
          <w:b/>
          <w:bCs/>
          <w:color w:val="E65100"/>
          <w:sz w:val="20"/>
          <w:szCs w:val="20"/>
        </w:rPr>
        <w:t xml:space="preserve">  AI  •</w:t>
      </w:r>
      <w:r>
        <w:rPr>
          <w:rFonts w:ascii="Arial" w:cs="Arial" w:eastAsia="Arial" w:hAnsi="Arial"/>
          <w:b/>
          <w:bCs/>
          <w:color w:val="00838F"/>
          <w:sz w:val="20"/>
          <w:szCs w:val="20"/>
        </w:rPr>
        <w:t xml:space="preserve">  App Modernization  •</w:t>
      </w:r>
      <w:r>
        <w:rPr>
          <w:rFonts w:ascii="Arial" w:cs="Arial" w:eastAsia="Arial" w:hAnsi="Arial"/>
          <w:b/>
          <w:bCs/>
          <w:color w:val="4E342E"/>
          <w:sz w:val="20"/>
          <w:szCs w:val="20"/>
        </w:rPr>
        <w:t xml:space="preserve">  Field CTO  •</w:t>
      </w:r>
    </w:p>
    <w:p>
      <w:pPr>
        <w:spacing w:after="140"/>
      </w:pPr>
    </w:p>
    <w:p>
      <w:pPr>
        <w:spacing w:after="40"/>
        <w:jc w:val="center"/>
      </w:pPr>
      <w:r>
        <w:rPr>
          <w:rFonts w:ascii="Arial" w:cs="Arial" w:eastAsia="Arial" w:hAnsi="Arial"/>
          <w:b/>
          <w:bCs/>
          <w:color w:val="555555"/>
          <w:sz w:val="24"/>
          <w:szCs w:val="24"/>
        </w:rPr>
        <w:t xml:space="preserve">OTS Stated 2026 Priorities</w:t>
      </w:r>
    </w:p>
    <w:p>
      <w:pPr>
        <w:jc w:val="center"/>
      </w:pPr>
      <w:r>
        <w:rPr>
          <w:rFonts w:ascii="Arial" w:cs="Arial" w:eastAsia="Arial" w:hAnsi="Arial"/>
          <w:color w:val="888888"/>
          <w:sz w:val="20"/>
          <w:szCs w:val="20"/>
        </w:rPr>
        <w:t xml:space="preserve">Ransomware Recovery / BCDR  •  Enterprise Logging / Observability  •  Endpoint Protection  •  PAM / IAM</w:t>
      </w:r>
    </w:p>
    <w:p>
      <w:pPr>
        <w:spacing w:before="2000"/>
        <w:jc w:val="center"/>
      </w:pPr>
      <w:r>
        <w:rPr>
          <w:rFonts w:ascii="Arial" w:cs="Arial" w:eastAsia="Arial" w:hAnsi="Arial"/>
          <w:b/>
          <w:bCs/>
          <w:color w:val="CC0000"/>
          <w:sz w:val="18"/>
          <w:szCs w:val="18"/>
        </w:rPr>
        <w:t xml:space="preserve">INTERNAL USE ONLY — PELLERA EBC PREP</w:t>
      </w:r>
    </w:p>
    <w:p>
      <w:r>
        <w:br w:type="page"/>
      </w:r>
    </w:p>
    <w:p>
      <w:pPr>
        <w:pStyle w:val="Heading1"/>
      </w:pPr>
      <w:r>
        <w:t xml:space="preserve">1. EBC Objectives</w:t>
      </w:r>
    </w:p>
    <w:p>
      <w:pPr>
        <w:spacing w:after="100"/>
      </w:pPr>
      <w:r>
        <w:rPr>
          <w:rFonts w:ascii="Arial" w:cs="Arial" w:eastAsia="Arial" w:hAnsi="Arial"/>
          <w:sz w:val="21"/>
          <w:szCs w:val="21"/>
        </w:rPr>
        <w:t xml:space="preserve">This EBC has three strategic objectives:</w:t>
      </w:r>
    </w:p>
    <w:p>
      <w:pPr>
        <w:spacing w:after="140"/>
      </w:pPr>
    </w:p>
    <w:p>
      <w:pPr>
        <w:pStyle w:val="ListParagraph"/>
        <w:numPr>
          <w:ilvl w:val="0"/>
          <w:numId w:val="2"/>
        </w:numPr>
        <w:spacing w:after="50"/>
      </w:pPr>
      <w:r>
        <w:rPr>
          <w:rFonts w:ascii="Arial" w:cs="Arial" w:eastAsia="Arial" w:hAnsi="Arial"/>
          <w:sz w:val="21"/>
          <w:szCs w:val="21"/>
        </w:rPr>
        <w:t xml:space="preserve">Establish Pellera as the firm that understands OTS’s architecture at a depth competitors cannot match. The OSINT report (pre-delivered as a consultative gift) demonstrates this before the meeting starts.</w:t>
      </w:r>
    </w:p>
    <w:p>
      <w:pPr>
        <w:pStyle w:val="ListParagraph"/>
        <w:numPr>
          <w:ilvl w:val="0"/>
          <w:numId w:val="2"/>
        </w:numPr>
        <w:spacing w:after="50"/>
      </w:pPr>
      <w:r>
        <w:rPr>
          <w:rFonts w:ascii="Arial" w:cs="Arial" w:eastAsia="Arial" w:hAnsi="Arial"/>
          <w:sz w:val="21"/>
          <w:szCs w:val="21"/>
        </w:rPr>
        <w:t xml:space="preserve">Show OTS how their four stated priorities (Ransomware/BCDR, Logging, Endpoint, PAM/IAM) connect to real, observable risks in their external infrastructure — and how Pellera’s multi-practice model addresses them holistically rather than in silos.</w:t>
      </w:r>
    </w:p>
    <w:p>
      <w:pPr>
        <w:pStyle w:val="ListParagraph"/>
        <w:numPr>
          <w:ilvl w:val="0"/>
          <w:numId w:val="2"/>
        </w:numPr>
        <w:spacing w:after="50"/>
      </w:pPr>
      <w:r>
        <w:rPr>
          <w:rFonts w:ascii="Arial" w:cs="Arial" w:eastAsia="Arial" w:hAnsi="Arial"/>
          <w:sz w:val="21"/>
          <w:szCs w:val="21"/>
        </w:rPr>
        <w:t xml:space="preserve">Advance the engagement toward a defined next step: a scoped assessment, a tabletop exercise, a pen test, or a strategic advisory engagement. At least one concrete next action with a date attached.</w:t>
      </w:r>
    </w:p>
    <w:p>
      <w:pPr>
        <w:spacing w:after="140"/>
      </w:pPr>
    </w:p>
    <w:p>
      <w:pPr>
        <w:pStyle w:val="Heading2"/>
      </w:pPr>
      <w:r>
        <w:t xml:space="preserve">1.1 Why We Win This EBC</w:t>
      </w:r>
    </w:p>
    <w:p>
      <w:pPr>
        <w:spacing w:after="100"/>
      </w:pPr>
      <w:r>
        <w:rPr>
          <w:rFonts w:ascii="Arial" w:cs="Arial" w:eastAsia="Arial" w:hAnsi="Arial"/>
          <w:sz w:val="21"/>
          <w:szCs w:val="21"/>
        </w:rPr>
        <w:t xml:space="preserve">We have an advantage no competitor can replicate: we’ve already mapped their entire external infrastructure using passive OSINT. We know their tech stack (30+ confirmed vendors), their IP blocks, their data center provider, their email security gaps, their legacy domain exposure, and their architectural risk profile. We did this with zero insider access. That alone demonstrates what a motivated adversary could do — and positions Pellera as the team that thinks like a threat actor while operating as a trusted partner.</w:t>
      </w:r>
    </w:p>
    <w:p>
      <w:pPr>
        <w:spacing w:after="140"/>
      </w:pPr>
    </w:p>
    <w:p>
      <w:pPr>
        <w:spacing w:after="100"/>
      </w:pPr>
      <w:r>
        <w:rPr>
          <w:rFonts w:ascii="Arial" w:cs="Arial" w:eastAsia="Arial" w:hAnsi="Arial"/>
          <w:sz w:val="21"/>
          <w:szCs w:val="21"/>
        </w:rPr>
        <w:t xml:space="preserve">Additionally, OTS’s Chief Enterprise Architect has published a multi-part series on BCDR first principles that directly aligns with our findings. His published thinking gives us a shared vocabulary to use in the room without needing to educate — we can immediately speak at his level.</w:t>
      </w:r>
    </w:p>
    <w:p>
      <w:r>
        <w:br w:type="page"/>
      </w:r>
    </w:p>
    <w:p>
      <w:pPr>
        <w:pStyle w:val="Heading1"/>
      </w:pPr>
      <w:r>
        <w:t xml:space="preserve">2. Prospect Intelligence Summary</w:t>
      </w:r>
    </w:p>
    <w:p>
      <w:pPr>
        <w:spacing w:after="100"/>
      </w:pPr>
      <w:r>
        <w:rPr>
          <w:rFonts w:ascii="Arial" w:cs="Arial" w:eastAsia="Arial" w:hAnsi="Arial"/>
          <w:b/>
          <w:bCs/>
          <w:sz w:val="21"/>
          <w:szCs w:val="21"/>
        </w:rPr>
        <w:t xml:space="preserve">Reference: </w:t>
      </w:r>
      <w:r>
        <w:rPr>
          <w:rFonts w:ascii="Arial" w:cs="Arial" w:eastAsia="Arial" w:hAnsi="Arial"/>
          <w:sz w:val="21"/>
          <w:szCs w:val="21"/>
        </w:rPr>
        <w:t xml:space="preserve">The full OSINT Threat Assessment report (pre-delivered to OTS) contains complete details. This section summarizes what every Pellera team member needs to know walking in.</w:t>
      </w:r>
    </w:p>
    <w:p>
      <w:pPr>
        <w:spacing w:after="140"/>
      </w:pPr>
    </w:p>
    <w:p>
      <w:pPr>
        <w:pStyle w:val="Heading2"/>
      </w:pPr>
      <w:r>
        <w:t xml:space="preserve">2.1 Who Is OTS?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30"/>
            </w:pPr>
            <w:r>
              <w:rPr>
                <w:rFonts w:ascii="Arial" w:cs="Arial" w:eastAsia="Arial" w:hAnsi="Arial"/>
                <w:b/>
                <w:bCs/>
                <w:color w:val="FFFFFF"/>
                <w:sz w:val="18"/>
                <w:szCs w:val="18"/>
              </w:rPr>
              <w:t xml:space="preserve">Attribute</w:t>
            </w:r>
          </w:p>
        </w:tc>
        <w:tc>
          <w:tcPr>
            <w:tcW w:type="dxa" w:w="758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30"/>
            </w:pPr>
            <w:r>
              <w:rPr>
                <w:rFonts w:ascii="Arial" w:cs="Arial" w:eastAsia="Arial" w:hAnsi="Arial"/>
                <w:b/>
                <w:bCs/>
                <w:color w:val="FFFFFF"/>
                <w:sz w:val="18"/>
                <w:szCs w:val="18"/>
              </w:rPr>
              <w:t xml:space="preserve">Detail</w:t>
            </w:r>
          </w:p>
        </w:tc>
      </w:tr>
      <w:tr>
        <w:tc>
          <w:tcPr>
            <w:tcW w:type="dxa" w:w="25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Entity</w:t>
            </w:r>
          </w:p>
        </w:tc>
        <w:tc>
          <w:tcPr>
            <w:tcW w:type="dxa" w:w="75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Open Technology Solutions, LLC — a Credit Union Service Organization (CUSO)</w:t>
            </w:r>
          </w:p>
        </w:tc>
      </w:tr>
      <w:tr>
        <w:tc>
          <w:tcPr>
            <w:tcW w:type="dxa" w:w="25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Function</w:t>
            </w:r>
          </w:p>
        </w:tc>
        <w:tc>
          <w:tcPr>
            <w:tcW w:type="dxa" w:w="75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Centralized IT backbone for a consortium of 3 credit unions + 1 sister CUSO</w:t>
            </w:r>
          </w:p>
        </w:tc>
      </w:tr>
      <w:tr>
        <w:tc>
          <w:tcPr>
            <w:tcW w:type="dxa" w:w="25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Combined Assets</w:t>
            </w:r>
          </w:p>
        </w:tc>
        <w:tc>
          <w:tcPr>
            <w:tcW w:type="dxa" w:w="75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$27.6 billion across the consortium</w:t>
            </w:r>
          </w:p>
        </w:tc>
      </w:tr>
      <w:tr>
        <w:tc>
          <w:tcPr>
            <w:tcW w:type="dxa" w:w="25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Total Members</w:t>
            </w:r>
          </w:p>
        </w:tc>
        <w:tc>
          <w:tcPr>
            <w:tcW w:type="dxa" w:w="75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1,100,000+</w:t>
            </w:r>
          </w:p>
        </w:tc>
      </w:tr>
      <w:tr>
        <w:tc>
          <w:tcPr>
            <w:tcW w:type="dxa" w:w="25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HQ</w:t>
            </w:r>
          </w:p>
        </w:tc>
        <w:tc>
          <w:tcPr>
            <w:tcW w:type="dxa" w:w="75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Centennial/Englewood, CO</w:t>
            </w:r>
          </w:p>
        </w:tc>
      </w:tr>
      <w:tr>
        <w:tc>
          <w:tcPr>
            <w:tcW w:type="dxa" w:w="25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Data Center</w:t>
            </w:r>
          </w:p>
        </w:tc>
        <w:tc>
          <w:tcPr>
            <w:tcW w:type="dxa" w:w="75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Flexential Colorado colocation — serves all consortium entities from a shared /24 subnet</w:t>
            </w:r>
          </w:p>
        </w:tc>
      </w:tr>
    </w:tbl>
    <w:p>
      <w:pPr>
        <w:spacing w:after="140"/>
      </w:pPr>
    </w:p>
    <w:p>
      <w:pPr>
        <w:pStyle w:val="Heading2"/>
      </w:pPr>
      <w:r>
        <w:t xml:space="preserve">2.2 The Consortium Entities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900"/>
        <w:gridCol w:w="600"/>
        <w:gridCol w:w="5380"/>
      </w:tblGrid>
      <w:tr>
        <w:tc>
          <w:tcPr>
            <w:tcW w:type="dxa" w:w="22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30"/>
            </w:pPr>
            <w:r>
              <w:rPr>
                <w:rFonts w:ascii="Arial" w:cs="Arial" w:eastAsia="Arial" w:hAnsi="Arial"/>
                <w:b/>
                <w:bCs/>
                <w:color w:val="FFFFFF"/>
                <w:sz w:val="18"/>
                <w:szCs w:val="18"/>
              </w:rPr>
              <w:t xml:space="preserve">Entity</w:t>
            </w:r>
          </w:p>
        </w:tc>
        <w:tc>
          <w:tcPr>
            <w:tcW w:type="dxa" w:w="10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30"/>
            </w:pPr>
            <w:r>
              <w:rPr>
                <w:rFonts w:ascii="Arial" w:cs="Arial" w:eastAsia="Arial" w:hAnsi="Arial"/>
                <w:b/>
                <w:bCs/>
                <w:color w:val="FFFFFF"/>
                <w:sz w:val="18"/>
                <w:szCs w:val="18"/>
              </w:rPr>
              <w:t xml:space="preserve">Assets</w:t>
            </w:r>
          </w:p>
        </w:tc>
        <w:tc>
          <w:tcPr>
            <w:tcW w:type="dxa" w:w="9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30"/>
            </w:pPr>
            <w:r>
              <w:rPr>
                <w:rFonts w:ascii="Arial" w:cs="Arial" w:eastAsia="Arial" w:hAnsi="Arial"/>
                <w:b/>
                <w:bCs/>
                <w:color w:val="FFFFFF"/>
                <w:sz w:val="18"/>
                <w:szCs w:val="18"/>
              </w:rPr>
              <w:t xml:space="preserve">Members</w:t>
            </w:r>
          </w:p>
        </w:tc>
        <w:tc>
          <w:tcPr>
            <w:tcW w:type="dxa" w:w="6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30"/>
            </w:pPr>
            <w:r>
              <w:rPr>
                <w:rFonts w:ascii="Arial" w:cs="Arial" w:eastAsia="Arial" w:hAnsi="Arial"/>
                <w:b/>
                <w:bCs/>
                <w:color w:val="FFFFFF"/>
                <w:sz w:val="18"/>
                <w:szCs w:val="18"/>
              </w:rPr>
              <w:t xml:space="preserve">HQ</w:t>
            </w:r>
          </w:p>
        </w:tc>
        <w:tc>
          <w:tcPr>
            <w:tcW w:type="dxa" w:w="538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30"/>
            </w:pPr>
            <w:r>
              <w:rPr>
                <w:rFonts w:ascii="Arial" w:cs="Arial" w:eastAsia="Arial" w:hAnsi="Arial"/>
                <w:b/>
                <w:bCs/>
                <w:color w:val="FFFFFF"/>
                <w:sz w:val="18"/>
                <w:szCs w:val="18"/>
              </w:rPr>
              <w:t xml:space="preserve">Key Context</w:t>
            </w:r>
          </w:p>
        </w:tc>
      </w:tr>
      <w:tr>
        <w:tc>
          <w:tcPr>
            <w:tcW w:type="dxa" w:w="2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Bellco Credit Union</w:t>
            </w:r>
          </w:p>
        </w:tc>
        <w:tc>
          <w:tcPr>
            <w:tcW w:type="dxa" w:w="1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$8.5B</w:t>
            </w:r>
          </w:p>
        </w:tc>
        <w:tc>
          <w:tcPr>
            <w:tcW w:type="dxa" w:w="9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375K</w:t>
            </w:r>
          </w:p>
        </w:tc>
        <w:tc>
          <w:tcPr>
            <w:tcW w:type="dxa" w:w="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CO</w:t>
            </w:r>
          </w:p>
        </w:tc>
        <w:tc>
          <w:tcPr>
            <w:tcW w:type="dxa" w:w="53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Largest CU in Denver. 29+ branches, aggressively expanding (6+ new branches 2023–2025).</w:t>
            </w:r>
          </w:p>
        </w:tc>
      </w:tr>
      <w:tr>
        <w:tc>
          <w:tcPr>
            <w:tcW w:type="dxa" w:w="2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SECU of Maryland</w:t>
            </w:r>
          </w:p>
        </w:tc>
        <w:tc>
          <w:tcPr>
            <w:tcW w:type="dxa" w:w="1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$5.7B</w:t>
            </w:r>
          </w:p>
        </w:tc>
        <w:tc>
          <w:tcPr>
            <w:tcW w:type="dxa" w:w="9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267K</w:t>
            </w:r>
          </w:p>
        </w:tc>
        <w:tc>
          <w:tcPr>
            <w:tcW w:type="dxa" w:w="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MD</w:t>
            </w:r>
          </w:p>
        </w:tc>
        <w:tc>
          <w:tcPr>
            <w:tcW w:type="dxa" w:w="53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Largest in Maryland. New infrastructure leader (mid-2024). Actively modernizing with MANTL and Black Dragon Capital.</w:t>
            </w:r>
          </w:p>
        </w:tc>
      </w:tr>
      <w:tr>
        <w:tc>
          <w:tcPr>
            <w:tcW w:type="dxa" w:w="2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FourLeaf FCU (fka Bethpage)</w:t>
            </w:r>
          </w:p>
        </w:tc>
        <w:tc>
          <w:tcPr>
            <w:tcW w:type="dxa" w:w="1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$13.4B</w:t>
            </w:r>
          </w:p>
        </w:tc>
        <w:tc>
          <w:tcPr>
            <w:tcW w:type="dxa" w:w="9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480K</w:t>
            </w:r>
          </w:p>
        </w:tc>
        <w:tc>
          <w:tcPr>
            <w:tcW w:type="dxa" w:w="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NY</w:t>
            </w:r>
          </w:p>
        </w:tc>
        <w:tc>
          <w:tcPr>
            <w:tcW w:type="dxa" w:w="53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15th largest CU in U.S. Rebranded March 2025 from Bethpage FCU. Massive legacy domain still fully live.</w:t>
            </w:r>
          </w:p>
        </w:tc>
      </w:tr>
      <w:tr>
        <w:tc>
          <w:tcPr>
            <w:tcW w:type="dxa" w:w="2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S3 CUSO</w:t>
            </w:r>
          </w:p>
        </w:tc>
        <w:tc>
          <w:tcPr>
            <w:tcW w:type="dxa" w:w="1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N/A</w:t>
            </w:r>
          </w:p>
        </w:tc>
        <w:tc>
          <w:tcPr>
            <w:tcW w:type="dxa" w:w="9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N/A</w:t>
            </w:r>
          </w:p>
        </w:tc>
        <w:tc>
          <w:tcPr>
            <w:tcW w:type="dxa" w:w="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CO</w:t>
            </w:r>
          </w:p>
        </w:tc>
        <w:tc>
          <w:tcPr>
            <w:tcW w:type="dxa" w:w="53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Shared services CUSO. Same OTS infrastructure.</w:t>
            </w:r>
          </w:p>
        </w:tc>
      </w:tr>
    </w:tbl>
    <w:p>
      <w:pPr>
        <w:spacing w:after="140"/>
      </w:pPr>
    </w:p>
    <w:p>
      <w:pPr>
        <w:pStyle w:val="Heading2"/>
      </w:pPr>
      <w:r>
        <w:t xml:space="preserve">2.3 Confirmed Technology Stack (Top-Level)</w:t>
      </w:r>
    </w:p>
    <w:p>
      <w:pPr>
        <w:spacing w:after="100"/>
      </w:pPr>
      <w:r>
        <w:rPr>
          <w:rFonts w:ascii="Arial" w:cs="Arial" w:eastAsia="Arial" w:hAnsi="Arial"/>
          <w:sz w:val="21"/>
          <w:szCs w:val="21"/>
        </w:rPr>
        <w:t xml:space="preserve">We confirmed 30+ vendors through passive OSINT. Every Pellera practice leader should know these:</w:t>
      </w:r>
    </w:p>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880"/>
      </w:tblGrid>
      <w:tr>
        <w:tc>
          <w:tcPr>
            <w:tcW w:type="dxa" w:w="18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30"/>
            </w:pPr>
            <w:r>
              <w:rPr>
                <w:rFonts w:ascii="Arial" w:cs="Arial" w:eastAsia="Arial" w:hAnsi="Arial"/>
                <w:b/>
                <w:bCs/>
                <w:color w:val="FFFFFF"/>
                <w:sz w:val="18"/>
                <w:szCs w:val="18"/>
              </w:rPr>
              <w:t xml:space="preserve">Layer</w:t>
            </w:r>
          </w:p>
        </w:tc>
        <w:tc>
          <w:tcPr>
            <w:tcW w:type="dxa" w:w="34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30"/>
            </w:pPr>
            <w:r>
              <w:rPr>
                <w:rFonts w:ascii="Arial" w:cs="Arial" w:eastAsia="Arial" w:hAnsi="Arial"/>
                <w:b/>
                <w:bCs/>
                <w:color w:val="FFFFFF"/>
                <w:sz w:val="18"/>
                <w:szCs w:val="18"/>
              </w:rPr>
              <w:t xml:space="preserve">Technology</w:t>
            </w:r>
          </w:p>
        </w:tc>
        <w:tc>
          <w:tcPr>
            <w:tcW w:type="dxa" w:w="488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30"/>
            </w:pPr>
            <w:r>
              <w:rPr>
                <w:rFonts w:ascii="Arial" w:cs="Arial" w:eastAsia="Arial" w:hAnsi="Arial"/>
                <w:b/>
                <w:bCs/>
                <w:color w:val="FFFFFF"/>
                <w:sz w:val="18"/>
                <w:szCs w:val="18"/>
              </w:rPr>
              <w:t xml:space="preserve">Pellera Practice Relevance</w:t>
            </w:r>
          </w:p>
        </w:tc>
      </w:tr>
      <w:tr>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Core Banking</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Fiserv DNA</w:t>
            </w:r>
          </w:p>
        </w:tc>
        <w:tc>
          <w:tcPr>
            <w:tcW w:type="dxa" w:w="48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App Mod (legacy modernization opportunities)</w:t>
            </w:r>
          </w:p>
        </w:tc>
      </w:tr>
      <w:tr>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Digital Banking</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Alkami ORB + MANTL</w:t>
            </w:r>
          </w:p>
        </w:tc>
        <w:tc>
          <w:tcPr>
            <w:tcW w:type="dxa" w:w="48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App Mod (API integration, digital transformation)</w:t>
            </w:r>
          </w:p>
        </w:tc>
      </w:tr>
      <w:tr>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Email</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Microsoft 365 + Proofpoint</w:t>
            </w:r>
          </w:p>
        </w:tc>
        <w:tc>
          <w:tcPr>
            <w:tcW w:type="dxa" w:w="48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Digital Workplace + Cybersecurity</w:t>
            </w:r>
          </w:p>
        </w:tc>
      </w:tr>
      <w:tr>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Firewall/SASE</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Palo Alto Prisma Access + Cisco ASA (legacy)</w:t>
            </w:r>
          </w:p>
        </w:tc>
        <w:tc>
          <w:tcPr>
            <w:tcW w:type="dxa" w:w="48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Infrastructure + Cybersecurity</w:t>
            </w:r>
          </w:p>
        </w:tc>
      </w:tr>
      <w:tr>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Identity</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Microsoft ADFS (Azure + on-prem)</w:t>
            </w:r>
          </w:p>
        </w:tc>
        <w:tc>
          <w:tcPr>
            <w:tcW w:type="dxa" w:w="48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Cybersecurity (PAM/IAM) + Infrastructure</w:t>
            </w:r>
          </w:p>
        </w:tc>
      </w:tr>
      <w:tr>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Remote Access</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Citrix + GlobalProtect + Cisco ASA VPN</w:t>
            </w:r>
          </w:p>
        </w:tc>
        <w:tc>
          <w:tcPr>
            <w:tcW w:type="dxa" w:w="48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Digital Workplace + Cybersecurity</w:t>
            </w:r>
          </w:p>
        </w:tc>
      </w:tr>
      <w:tr>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MDM</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Jamf (Apple)</w:t>
            </w:r>
          </w:p>
        </w:tc>
        <w:tc>
          <w:tcPr>
            <w:tcW w:type="dxa" w:w="48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Digital Workplace</w:t>
            </w:r>
          </w:p>
        </w:tc>
      </w:tr>
      <w:tr>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Load Balancer</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F5 BigIP</w:t>
            </w:r>
          </w:p>
        </w:tc>
        <w:tc>
          <w:tcPr>
            <w:tcW w:type="dxa" w:w="48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Infrastructure</w:t>
            </w:r>
          </w:p>
        </w:tc>
      </w:tr>
      <w:tr>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Web Server</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Microsoft IIS/10.0 + ASP.NET</w:t>
            </w:r>
          </w:p>
        </w:tc>
        <w:tc>
          <w:tcPr>
            <w:tcW w:type="dxa" w:w="48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Infrastructure + App Mod</w:t>
            </w:r>
          </w:p>
        </w:tc>
      </w:tr>
      <w:tr>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Cloud</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AWS (multi-region) + Azure + GCP</w:t>
            </w:r>
          </w:p>
        </w:tc>
        <w:tc>
          <w:tcPr>
            <w:tcW w:type="dxa" w:w="48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Infrastructure + Field CTO</w:t>
            </w:r>
          </w:p>
        </w:tc>
      </w:tr>
      <w:tr>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CDN/WAF</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Cloudflare</w:t>
            </w:r>
          </w:p>
        </w:tc>
        <w:tc>
          <w:tcPr>
            <w:tcW w:type="dxa" w:w="48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Infrastructure + Cybersecurity</w:t>
            </w:r>
          </w:p>
        </w:tc>
      </w:tr>
      <w:tr>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Collaboration</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Cisco UC (Expressway, Unity, Presence)</w:t>
            </w:r>
          </w:p>
        </w:tc>
        <w:tc>
          <w:tcPr>
            <w:tcW w:type="dxa" w:w="48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Digital Workplace</w:t>
            </w:r>
          </w:p>
        </w:tc>
      </w:tr>
      <w:tr>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IT Automation</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OpCon (SMA Technologies)</w:t>
            </w:r>
          </w:p>
        </w:tc>
        <w:tc>
          <w:tcPr>
            <w:tcW w:type="dxa" w:w="48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Infrastructure + AI</w:t>
            </w:r>
          </w:p>
        </w:tc>
      </w:tr>
      <w:tr>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Workflow</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Nintex + Matillion (ETL)</w:t>
            </w:r>
          </w:p>
        </w:tc>
        <w:tc>
          <w:tcPr>
            <w:tcW w:type="dxa" w:w="48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App Mod + AI</w:t>
            </w:r>
          </w:p>
        </w:tc>
      </w:tr>
      <w:tr>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Security Awareness</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KnowBe4</w:t>
            </w:r>
          </w:p>
        </w:tc>
        <w:tc>
          <w:tcPr>
            <w:tcW w:type="dxa" w:w="48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Cybersecurity</w:t>
            </w:r>
          </w:p>
        </w:tc>
      </w:tr>
      <w:tr>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ASM</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Detectify</w:t>
            </w:r>
          </w:p>
        </w:tc>
        <w:tc>
          <w:tcPr>
            <w:tcW w:type="dxa" w:w="48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Cybersecurity</w:t>
            </w:r>
          </w:p>
        </w:tc>
      </w:tr>
      <w:tr>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Colocation</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Flexential Colorado</w:t>
            </w:r>
          </w:p>
        </w:tc>
        <w:tc>
          <w:tcPr>
            <w:tcW w:type="dxa" w:w="48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Infrastructure</w:t>
            </w:r>
          </w:p>
        </w:tc>
      </w:tr>
    </w:tbl>
    <w:p>
      <w:pPr>
        <w:spacing w:after="140"/>
      </w:pPr>
    </w:p>
    <w:p>
      <w:pPr>
        <w:pStyle w:val="Heading2"/>
      </w:pPr>
      <w:r>
        <w:t xml:space="preserve">2.4 The Five Findings That Matter Most</w:t>
      </w:r>
    </w:p>
    <w:p>
      <w:pPr>
        <w:spacing w:after="100"/>
      </w:pPr>
      <w:r>
        <w:rPr>
          <w:rFonts w:ascii="Arial" w:cs="Arial" w:eastAsia="Arial" w:hAnsi="Arial"/>
          <w:sz w:val="21"/>
          <w:szCs w:val="21"/>
        </w:rPr>
        <w:t xml:space="preserve">These are the findings that anchor every conversation in this EBC:</w:t>
      </w:r>
    </w:p>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4800"/>
        <w:gridCol w:w="4880"/>
      </w:tblGrid>
      <w:tr>
        <w:tc>
          <w:tcPr>
            <w:tcW w:type="dxa" w:w="4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30"/>
            </w:pPr>
            <w:r>
              <w:rPr>
                <w:rFonts w:ascii="Arial" w:cs="Arial" w:eastAsia="Arial" w:hAnsi="Arial"/>
                <w:b/>
                <w:bCs/>
                <w:color w:val="FFFFFF"/>
                <w:sz w:val="18"/>
                <w:szCs w:val="18"/>
              </w:rPr>
              <w:t xml:space="preserve">#</w:t>
            </w:r>
          </w:p>
        </w:tc>
        <w:tc>
          <w:tcPr>
            <w:tcW w:type="dxa" w:w="48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30"/>
            </w:pPr>
            <w:r>
              <w:rPr>
                <w:rFonts w:ascii="Arial" w:cs="Arial" w:eastAsia="Arial" w:hAnsi="Arial"/>
                <w:b/>
                <w:bCs/>
                <w:color w:val="FFFFFF"/>
                <w:sz w:val="18"/>
                <w:szCs w:val="18"/>
              </w:rPr>
              <w:t xml:space="preserve">Finding</w:t>
            </w:r>
          </w:p>
        </w:tc>
        <w:tc>
          <w:tcPr>
            <w:tcW w:type="dxa" w:w="488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30"/>
            </w:pPr>
            <w:r>
              <w:rPr>
                <w:rFonts w:ascii="Arial" w:cs="Arial" w:eastAsia="Arial" w:hAnsi="Arial"/>
                <w:b/>
                <w:bCs/>
                <w:color w:val="FFFFFF"/>
                <w:sz w:val="18"/>
                <w:szCs w:val="18"/>
              </w:rPr>
              <w:t xml:space="preserve">Why It Matters</w:t>
            </w:r>
          </w:p>
        </w:tc>
      </w:tr>
      <w:tr>
        <w:tc>
          <w:tcPr>
            <w:tcW w:type="dxa" w:w="400"/>
            <w:gridSpan w:val="1"/>
            <w:tcBorders>
              <w:top w:val="single" w:color="CCCCCC" w:sz="1"/>
              <w:left w:val="single" w:color="CCCCCC" w:sz="1"/>
              <w:bottom w:val="single" w:color="CCCCCC" w:sz="1"/>
              <w:right w:val="single" w:color="CCCCCC" w:sz="1"/>
            </w:tcBorders>
            <w:shd w:fill="FDE8E8"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1</w:t>
            </w:r>
          </w:p>
        </w:tc>
        <w:tc>
          <w:tcPr>
            <w:tcW w:type="dxa" w:w="4800"/>
            <w:gridSpan w:val="1"/>
            <w:tcBorders>
              <w:top w:val="single" w:color="CCCCCC" w:sz="1"/>
              <w:left w:val="single" w:color="CCCCCC" w:sz="1"/>
              <w:bottom w:val="single" w:color="CCCCCC" w:sz="1"/>
              <w:right w:val="single" w:color="CCCCCC" w:sz="1"/>
            </w:tcBorders>
            <w:shd w:fill="FDE8E8"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All 3 CUs share a single /24 subnet (12.178.113.0/24) at Flexential CO</w:t>
            </w:r>
          </w:p>
        </w:tc>
        <w:tc>
          <w:tcPr>
            <w:tcW w:type="dxa" w:w="4880"/>
            <w:gridSpan w:val="1"/>
            <w:tcBorders>
              <w:top w:val="single" w:color="CCCCCC" w:sz="1"/>
              <w:left w:val="single" w:color="CCCCCC" w:sz="1"/>
              <w:bottom w:val="single" w:color="CCCCCC" w:sz="1"/>
              <w:right w:val="single" w:color="CCCCCC" w:sz="1"/>
            </w:tcBorders>
            <w:shd w:fill="FDE8E8"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One ransomware event = three CUs down, three NCUA notifications, $15M–$50M exposure</w:t>
            </w:r>
          </w:p>
        </w:tc>
      </w:tr>
      <w:tr>
        <w:tc>
          <w:tcPr>
            <w:tcW w:type="dxa" w:w="400"/>
            <w:gridSpan w:val="1"/>
            <w:tcBorders>
              <w:top w:val="single" w:color="CCCCCC" w:sz="1"/>
              <w:left w:val="single" w:color="CCCCCC" w:sz="1"/>
              <w:bottom w:val="single" w:color="CCCCCC" w:sz="1"/>
              <w:right w:val="single" w:color="CCCCCC" w:sz="1"/>
            </w:tcBorders>
            <w:shd w:fill="FDE8E8"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2</w:t>
            </w:r>
          </w:p>
        </w:tc>
        <w:tc>
          <w:tcPr>
            <w:tcW w:type="dxa" w:w="4800"/>
            <w:gridSpan w:val="1"/>
            <w:tcBorders>
              <w:top w:val="single" w:color="CCCCCC" w:sz="1"/>
              <w:left w:val="single" w:color="CCCCCC" w:sz="1"/>
              <w:bottom w:val="single" w:color="CCCCCC" w:sz="1"/>
              <w:right w:val="single" w:color="CCCCCC" w:sz="1"/>
            </w:tcBorders>
            <w:shd w:fill="FDE8E8"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Legacy bethpagefcu.com has DMARC p=none (zero email spoofing protection)</w:t>
            </w:r>
          </w:p>
        </w:tc>
        <w:tc>
          <w:tcPr>
            <w:tcW w:type="dxa" w:w="4880"/>
            <w:gridSpan w:val="1"/>
            <w:tcBorders>
              <w:top w:val="single" w:color="CCCCCC" w:sz="1"/>
              <w:left w:val="single" w:color="CCCCCC" w:sz="1"/>
              <w:bottom w:val="single" w:color="CCCCCC" w:sz="1"/>
              <w:right w:val="single" w:color="CCCCCC" w:sz="1"/>
            </w:tcBorders>
            <w:shd w:fill="FDE8E8"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480K members trust this domain. Any attacker can send email as @bethpagefcu.com today.</w:t>
            </w:r>
          </w:p>
        </w:tc>
      </w:tr>
      <w:tr>
        <w:tc>
          <w:tcPr>
            <w:tcW w:type="dxa" w:w="400"/>
            <w:gridSpan w:val="1"/>
            <w:tcBorders>
              <w:top w:val="single" w:color="CCCCCC" w:sz="1"/>
              <w:left w:val="single" w:color="CCCCCC" w:sz="1"/>
              <w:bottom w:val="single" w:color="CCCCCC" w:sz="1"/>
              <w:right w:val="single" w:color="CCCCCC" w:sz="1"/>
            </w:tcBorders>
            <w:shd w:fill="FFF3E0"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3</w:t>
            </w:r>
          </w:p>
        </w:tc>
        <w:tc>
          <w:tcPr>
            <w:tcW w:type="dxa" w:w="4800"/>
            <w:gridSpan w:val="1"/>
            <w:tcBorders>
              <w:top w:val="single" w:color="CCCCCC" w:sz="1"/>
              <w:left w:val="single" w:color="CCCCCC" w:sz="1"/>
              <w:bottom w:val="single" w:color="CCCCCC" w:sz="1"/>
              <w:right w:val="single" w:color="CCCCCC" w:sz="1"/>
            </w:tcBorders>
            <w:shd w:fill="FFF3E0"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ADFS for Bellco (.209) and FourLeaf auth (.11) on same /24</w:t>
            </w:r>
          </w:p>
        </w:tc>
        <w:tc>
          <w:tcPr>
            <w:tcW w:type="dxa" w:w="4880"/>
            <w:gridSpan w:val="1"/>
            <w:tcBorders>
              <w:top w:val="single" w:color="CCCCCC" w:sz="1"/>
              <w:left w:val="single" w:color="CCCCCC" w:sz="1"/>
              <w:bottom w:val="single" w:color="CCCCCC" w:sz="1"/>
              <w:right w:val="single" w:color="CCCCCC" w:sz="1"/>
            </w:tcBorders>
            <w:shd w:fill="FFF3E0"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Golden SAML risk. Compromise one identity system, forge tokens for both CUs.</w:t>
            </w:r>
          </w:p>
        </w:tc>
      </w:tr>
      <w:tr>
        <w:tc>
          <w:tcPr>
            <w:tcW w:type="dxa" w:w="400"/>
            <w:gridSpan w:val="1"/>
            <w:tcBorders>
              <w:top w:val="single" w:color="CCCCCC" w:sz="1"/>
              <w:left w:val="single" w:color="CCCCCC" w:sz="1"/>
              <w:bottom w:val="single" w:color="CCCCCC" w:sz="1"/>
              <w:right w:val="single" w:color="CCCCCC" w:sz="1"/>
            </w:tcBorders>
            <w:shd w:fill="FFF3E0"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4</w:t>
            </w:r>
          </w:p>
        </w:tc>
        <w:tc>
          <w:tcPr>
            <w:tcW w:type="dxa" w:w="4800"/>
            <w:gridSpan w:val="1"/>
            <w:tcBorders>
              <w:top w:val="single" w:color="CCCCCC" w:sz="1"/>
              <w:left w:val="single" w:color="CCCCCC" w:sz="1"/>
              <w:bottom w:val="single" w:color="CCCCCC" w:sz="1"/>
              <w:right w:val="single" w:color="CCCCCC" w:sz="1"/>
            </w:tcBorders>
            <w:shd w:fill="FFF3E0"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85+ live subdomains on legacy bethpagefcu.com including Citrix, VPN, ADFS, test/UAT</w:t>
            </w:r>
          </w:p>
        </w:tc>
        <w:tc>
          <w:tcPr>
            <w:tcW w:type="dxa" w:w="4880"/>
            <w:gridSpan w:val="1"/>
            <w:tcBorders>
              <w:top w:val="single" w:color="CCCCCC" w:sz="1"/>
              <w:left w:val="single" w:color="CCCCCC" w:sz="1"/>
              <w:bottom w:val="single" w:color="CCCCCC" w:sz="1"/>
              <w:right w:val="single" w:color="CCCCCC" w:sz="1"/>
            </w:tcBorders>
            <w:shd w:fill="FFF3E0"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Massive unmanaged attack surface during rebrand transition.</w:t>
            </w:r>
          </w:p>
        </w:tc>
      </w:tr>
      <w:tr>
        <w:tc>
          <w:tcPr>
            <w:tcW w:type="dxa" w:w="400"/>
            <w:gridSpan w:val="1"/>
            <w:tcBorders>
              <w:top w:val="single" w:color="CCCCCC" w:sz="1"/>
              <w:left w:val="single" w:color="CCCCCC" w:sz="1"/>
              <w:bottom w:val="single" w:color="CCCCCC" w:sz="1"/>
              <w:right w:val="single" w:color="CCCCCC" w:sz="1"/>
            </w:tcBorders>
            <w:shd w:fill="FFF3E0"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5</w:t>
            </w:r>
          </w:p>
        </w:tc>
        <w:tc>
          <w:tcPr>
            <w:tcW w:type="dxa" w:w="4800"/>
            <w:gridSpan w:val="1"/>
            <w:tcBorders>
              <w:top w:val="single" w:color="CCCCCC" w:sz="1"/>
              <w:left w:val="single" w:color="CCCCCC" w:sz="1"/>
              <w:bottom w:val="single" w:color="CCCCCC" w:sz="1"/>
              <w:right w:val="single" w:color="CCCCCC" w:sz="1"/>
            </w:tcBorders>
            <w:shd w:fill="FFF3E0"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Mixed firewall environment: Palo Alto + Cisco ASA + Citrix</w:t>
            </w:r>
          </w:p>
        </w:tc>
        <w:tc>
          <w:tcPr>
            <w:tcW w:type="dxa" w:w="4880"/>
            <w:gridSpan w:val="1"/>
            <w:tcBorders>
              <w:top w:val="single" w:color="CCCCCC" w:sz="1"/>
              <w:left w:val="single" w:color="CCCCCC" w:sz="1"/>
              <w:bottom w:val="single" w:color="CCCCCC" w:sz="1"/>
              <w:right w:val="single" w:color="CCCCCC" w:sz="1"/>
            </w:tcBorders>
            <w:shd w:fill="FFF3E0"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Three remote access platforms = three patching cadences, three MFA policies.</w:t>
            </w:r>
          </w:p>
        </w:tc>
      </w:tr>
    </w:tbl>
    <w:p>
      <w:r>
        <w:br w:type="page"/>
      </w:r>
    </w:p>
    <w:p>
      <w:pPr>
        <w:pStyle w:val="Heading1"/>
      </w:pPr>
      <w:r>
        <w:t xml:space="preserve">3. EBC Agenda</w:t>
      </w:r>
    </w:p>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900"/>
        <w:gridCol w:w="2200"/>
        <w:gridCol w:w="2380"/>
      </w:tblGrid>
      <w:tr>
        <w:tc>
          <w:tcPr>
            <w:tcW w:type="dxa" w:w="12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30"/>
            </w:pPr>
            <w:r>
              <w:rPr>
                <w:rFonts w:ascii="Arial" w:cs="Arial" w:eastAsia="Arial" w:hAnsi="Arial"/>
                <w:b/>
                <w:bCs/>
                <w:color w:val="FFFFFF"/>
                <w:sz w:val="18"/>
                <w:szCs w:val="18"/>
              </w:rPr>
              <w:t xml:space="preserve">Time</w:t>
            </w:r>
          </w:p>
        </w:tc>
        <w:tc>
          <w:tcPr>
            <w:tcW w:type="dxa" w:w="34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30"/>
            </w:pPr>
            <w:r>
              <w:rPr>
                <w:rFonts w:ascii="Arial" w:cs="Arial" w:eastAsia="Arial" w:hAnsi="Arial"/>
                <w:b/>
                <w:bCs/>
                <w:color w:val="FFFFFF"/>
                <w:sz w:val="18"/>
                <w:szCs w:val="18"/>
              </w:rPr>
              <w:t xml:space="preserve">Block</w:t>
            </w:r>
          </w:p>
        </w:tc>
        <w:tc>
          <w:tcPr>
            <w:tcW w:type="dxa" w:w="9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30"/>
            </w:pPr>
            <w:r>
              <w:rPr>
                <w:rFonts w:ascii="Arial" w:cs="Arial" w:eastAsia="Arial" w:hAnsi="Arial"/>
                <w:b/>
                <w:bCs/>
                <w:color w:val="FFFFFF"/>
                <w:sz w:val="18"/>
                <w:szCs w:val="18"/>
              </w:rPr>
              <w:t xml:space="preserve">Duration</w:t>
            </w:r>
          </w:p>
        </w:tc>
        <w:tc>
          <w:tcPr>
            <w:tcW w:type="dxa" w:w="22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30"/>
            </w:pPr>
            <w:r>
              <w:rPr>
                <w:rFonts w:ascii="Arial" w:cs="Arial" w:eastAsia="Arial" w:hAnsi="Arial"/>
                <w:b/>
                <w:bCs/>
                <w:color w:val="FFFFFF"/>
                <w:sz w:val="18"/>
                <w:szCs w:val="18"/>
              </w:rPr>
              <w:t xml:space="preserve">Pellera Lead(s)</w:t>
            </w:r>
          </w:p>
        </w:tc>
        <w:tc>
          <w:tcPr>
            <w:tcW w:type="dxa" w:w="238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30"/>
            </w:pPr>
            <w:r>
              <w:rPr>
                <w:rFonts w:ascii="Arial" w:cs="Arial" w:eastAsia="Arial" w:hAnsi="Arial"/>
                <w:b/>
                <w:bCs/>
                <w:color w:val="FFFFFF"/>
                <w:sz w:val="18"/>
                <w:szCs w:val="18"/>
              </w:rPr>
              <w:t xml:space="preserve">OTS Priority Addressed</w:t>
            </w:r>
          </w:p>
        </w:tc>
      </w:tr>
      <w:tr>
        <w:tc>
          <w:tcPr>
            <w:tcW w:type="dxa" w:w="1200"/>
            <w:gridSpan w:val="1"/>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9:00–9:15</w:t>
            </w:r>
          </w:p>
        </w:tc>
        <w:tc>
          <w:tcPr>
            <w:tcW w:type="dxa" w:w="3400"/>
            <w:gridSpan w:val="1"/>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Welcome &amp; Introductions</w:t>
            </w:r>
          </w:p>
        </w:tc>
        <w:tc>
          <w:tcPr>
            <w:tcW w:type="dxa" w:w="900"/>
            <w:gridSpan w:val="1"/>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15 min</w:t>
            </w:r>
          </w:p>
        </w:tc>
        <w:tc>
          <w:tcPr>
            <w:tcW w:type="dxa" w:w="2200"/>
            <w:gridSpan w:val="1"/>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Sales Leadership</w:t>
            </w:r>
          </w:p>
        </w:tc>
        <w:tc>
          <w:tcPr>
            <w:tcW w:type="dxa" w:w="2380"/>
            <w:gridSpan w:val="1"/>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w:t>
            </w:r>
          </w:p>
        </w:tc>
      </w:tr>
      <w:tr>
        <w:tc>
          <w:tcPr>
            <w:tcW w:type="dxa" w:w="1200"/>
            <w:gridSpan w:val="1"/>
            <w:tcBorders>
              <w:top w:val="single" w:color="CCCCCC" w:sz="1"/>
              <w:left w:val="single" w:color="CCCCCC" w:sz="1"/>
              <w:bottom w:val="single" w:color="CCCCCC" w:sz="1"/>
              <w:right w:val="single" w:color="CCCCCC" w:sz="1"/>
            </w:tcBorders>
            <w:shd w:fill="E8EFF5"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9:15–9:45</w:t>
            </w:r>
          </w:p>
        </w:tc>
        <w:tc>
          <w:tcPr>
            <w:tcW w:type="dxa" w:w="3400"/>
            <w:gridSpan w:val="1"/>
            <w:tcBorders>
              <w:top w:val="single" w:color="CCCCCC" w:sz="1"/>
              <w:left w:val="single" w:color="CCCCCC" w:sz="1"/>
              <w:bottom w:val="single" w:color="CCCCCC" w:sz="1"/>
              <w:right w:val="single" w:color="CCCCCC" w:sz="1"/>
            </w:tcBorders>
            <w:shd w:fill="E8EFF5"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"What an Adversary Sees" — OSINT Findings Presentation</w:t>
            </w:r>
          </w:p>
        </w:tc>
        <w:tc>
          <w:tcPr>
            <w:tcW w:type="dxa" w:w="900"/>
            <w:gridSpan w:val="1"/>
            <w:tcBorders>
              <w:top w:val="single" w:color="CCCCCC" w:sz="1"/>
              <w:left w:val="single" w:color="CCCCCC" w:sz="1"/>
              <w:bottom w:val="single" w:color="CCCCCC" w:sz="1"/>
              <w:right w:val="single" w:color="CCCCCC" w:sz="1"/>
            </w:tcBorders>
            <w:shd w:fill="E8EFF5"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30 min</w:t>
            </w:r>
          </w:p>
        </w:tc>
        <w:tc>
          <w:tcPr>
            <w:tcW w:type="dxa" w:w="2200"/>
            <w:gridSpan w:val="1"/>
            <w:tcBorders>
              <w:top w:val="single" w:color="CCCCCC" w:sz="1"/>
              <w:left w:val="single" w:color="CCCCCC" w:sz="1"/>
              <w:bottom w:val="single" w:color="CCCCCC" w:sz="1"/>
              <w:right w:val="single" w:color="CCCCCC" w:sz="1"/>
            </w:tcBorders>
            <w:shd w:fill="E8EFF5"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Cybersecurity Practice Leader</w:t>
            </w:r>
          </w:p>
        </w:tc>
        <w:tc>
          <w:tcPr>
            <w:tcW w:type="dxa" w:w="2380"/>
            <w:gridSpan w:val="1"/>
            <w:tcBorders>
              <w:top w:val="single" w:color="CCCCCC" w:sz="1"/>
              <w:left w:val="single" w:color="CCCCCC" w:sz="1"/>
              <w:bottom w:val="single" w:color="CCCCCC" w:sz="1"/>
              <w:right w:val="single" w:color="CCCCCC" w:sz="1"/>
            </w:tcBorders>
            <w:shd w:fill="E8EFF5"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ALL (foundation for every topic)</w:t>
            </w:r>
          </w:p>
        </w:tc>
      </w:tr>
      <w:tr>
        <w:tc>
          <w:tcPr>
            <w:tcW w:type="dxa" w:w="1200"/>
            <w:gridSpan w:val="1"/>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9:45–10:30</w:t>
            </w:r>
          </w:p>
        </w:tc>
        <w:tc>
          <w:tcPr>
            <w:tcW w:type="dxa" w:w="3400"/>
            <w:gridSpan w:val="1"/>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Session 1: Ransomware Recovery &amp; BCDR Architecture</w:t>
            </w:r>
          </w:p>
        </w:tc>
        <w:tc>
          <w:tcPr>
            <w:tcW w:type="dxa" w:w="900"/>
            <w:gridSpan w:val="1"/>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45 min</w:t>
            </w:r>
          </w:p>
        </w:tc>
        <w:tc>
          <w:tcPr>
            <w:tcW w:type="dxa" w:w="2200"/>
            <w:gridSpan w:val="1"/>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Cybersecurity + Infrastructure</w:t>
            </w:r>
          </w:p>
        </w:tc>
        <w:tc>
          <w:tcPr>
            <w:tcW w:type="dxa" w:w="2380"/>
            <w:gridSpan w:val="1"/>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Ransomware Recovery / BCDR</w:t>
            </w:r>
          </w:p>
        </w:tc>
      </w:tr>
      <w:tr>
        <w:tc>
          <w:tcPr>
            <w:tcW w:type="dxa" w:w="1200"/>
            <w:gridSpan w:val="1"/>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10:30–10:45</w:t>
            </w:r>
          </w:p>
        </w:tc>
        <w:tc>
          <w:tcPr>
            <w:tcW w:type="dxa" w:w="3400"/>
            <w:gridSpan w:val="1"/>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Break</w:t>
            </w:r>
          </w:p>
        </w:tc>
        <w:tc>
          <w:tcPr>
            <w:tcW w:type="dxa" w:w="900"/>
            <w:gridSpan w:val="1"/>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15 min</w:t>
            </w:r>
          </w:p>
        </w:tc>
        <w:tc>
          <w:tcPr>
            <w:tcW w:type="dxa" w:w="2200"/>
            <w:gridSpan w:val="1"/>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w:t>
            </w:r>
          </w:p>
        </w:tc>
        <w:tc>
          <w:tcPr>
            <w:tcW w:type="dxa" w:w="2380"/>
            <w:gridSpan w:val="1"/>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w:t>
            </w:r>
          </w:p>
        </w:tc>
      </w:tr>
      <w:tr>
        <w:tc>
          <w:tcPr>
            <w:tcW w:type="dxa" w:w="1200"/>
            <w:gridSpan w:val="1"/>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10:45–11:15</w:t>
            </w:r>
          </w:p>
        </w:tc>
        <w:tc>
          <w:tcPr>
            <w:tcW w:type="dxa" w:w="3400"/>
            <w:gridSpan w:val="1"/>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Session 2: Identity, Privileged Access &amp; Zero Trust</w:t>
            </w:r>
          </w:p>
        </w:tc>
        <w:tc>
          <w:tcPr>
            <w:tcW w:type="dxa" w:w="900"/>
            <w:gridSpan w:val="1"/>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30 min</w:t>
            </w:r>
          </w:p>
        </w:tc>
        <w:tc>
          <w:tcPr>
            <w:tcW w:type="dxa" w:w="2200"/>
            <w:gridSpan w:val="1"/>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Cybersecurity + Infrastructure + Field CTO</w:t>
            </w:r>
          </w:p>
        </w:tc>
        <w:tc>
          <w:tcPr>
            <w:tcW w:type="dxa" w:w="2380"/>
            <w:gridSpan w:val="1"/>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PAM / IAM</w:t>
            </w:r>
          </w:p>
        </w:tc>
      </w:tr>
      <w:tr>
        <w:tc>
          <w:tcPr>
            <w:tcW w:type="dxa" w:w="1200"/>
            <w:gridSpan w:val="1"/>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11:15–11:45</w:t>
            </w:r>
          </w:p>
        </w:tc>
        <w:tc>
          <w:tcPr>
            <w:tcW w:type="dxa" w:w="3400"/>
            <w:gridSpan w:val="1"/>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Session 3: Observability, Logging &amp; Intelligent Operations</w:t>
            </w:r>
          </w:p>
        </w:tc>
        <w:tc>
          <w:tcPr>
            <w:tcW w:type="dxa" w:w="900"/>
            <w:gridSpan w:val="1"/>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30 min</w:t>
            </w:r>
          </w:p>
        </w:tc>
        <w:tc>
          <w:tcPr>
            <w:tcW w:type="dxa" w:w="2200"/>
            <w:gridSpan w:val="1"/>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Cybersecurity + AI + Infrastructure</w:t>
            </w:r>
          </w:p>
        </w:tc>
        <w:tc>
          <w:tcPr>
            <w:tcW w:type="dxa" w:w="2380"/>
            <w:gridSpan w:val="1"/>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Enterprise Logging / Observability</w:t>
            </w:r>
          </w:p>
        </w:tc>
      </w:tr>
      <w:tr>
        <w:tc>
          <w:tcPr>
            <w:tcW w:type="dxa" w:w="1200"/>
            <w:gridSpan w:val="1"/>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11:45–12:15</w:t>
            </w:r>
          </w:p>
        </w:tc>
        <w:tc>
          <w:tcPr>
            <w:tcW w:type="dxa" w:w="3400"/>
            <w:gridSpan w:val="1"/>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Session 4: Digital Workplace, Endpoint &amp; Application Modernization</w:t>
            </w:r>
          </w:p>
        </w:tc>
        <w:tc>
          <w:tcPr>
            <w:tcW w:type="dxa" w:w="900"/>
            <w:gridSpan w:val="1"/>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30 min</w:t>
            </w:r>
          </w:p>
        </w:tc>
        <w:tc>
          <w:tcPr>
            <w:tcW w:type="dxa" w:w="2200"/>
            <w:gridSpan w:val="1"/>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Digital Workplace + App Mod + Cybersecurity</w:t>
            </w:r>
          </w:p>
        </w:tc>
        <w:tc>
          <w:tcPr>
            <w:tcW w:type="dxa" w:w="2380"/>
            <w:gridSpan w:val="1"/>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Endpoint Protection + forward-looking</w:t>
            </w:r>
          </w:p>
        </w:tc>
      </w:tr>
      <w:tr>
        <w:tc>
          <w:tcPr>
            <w:tcW w:type="dxa" w:w="1200"/>
            <w:gridSpan w:val="1"/>
            <w:tcBorders>
              <w:top w:val="single" w:color="CCCCCC" w:sz="1"/>
              <w:left w:val="single" w:color="CCCCCC" w:sz="1"/>
              <w:bottom w:val="single" w:color="CCCCCC" w:sz="1"/>
              <w:right w:val="single" w:color="CCCCCC" w:sz="1"/>
            </w:tcBorders>
            <w:shd w:fill="E8EFF5"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12:15–12:30</w:t>
            </w:r>
          </w:p>
        </w:tc>
        <w:tc>
          <w:tcPr>
            <w:tcW w:type="dxa" w:w="3400"/>
            <w:gridSpan w:val="1"/>
            <w:tcBorders>
              <w:top w:val="single" w:color="CCCCCC" w:sz="1"/>
              <w:left w:val="single" w:color="CCCCCC" w:sz="1"/>
              <w:bottom w:val="single" w:color="CCCCCC" w:sz="1"/>
              <w:right w:val="single" w:color="CCCCCC" w:sz="1"/>
            </w:tcBorders>
            <w:shd w:fill="E8EFF5"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Strategic Roadmap &amp; Next Steps</w:t>
            </w:r>
          </w:p>
        </w:tc>
        <w:tc>
          <w:tcPr>
            <w:tcW w:type="dxa" w:w="900"/>
            <w:gridSpan w:val="1"/>
            <w:tcBorders>
              <w:top w:val="single" w:color="CCCCCC" w:sz="1"/>
              <w:left w:val="single" w:color="CCCCCC" w:sz="1"/>
              <w:bottom w:val="single" w:color="CCCCCC" w:sz="1"/>
              <w:right w:val="single" w:color="CCCCCC" w:sz="1"/>
            </w:tcBorders>
            <w:shd w:fill="E8EFF5"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15 min</w:t>
            </w:r>
          </w:p>
        </w:tc>
        <w:tc>
          <w:tcPr>
            <w:tcW w:type="dxa" w:w="2200"/>
            <w:gridSpan w:val="1"/>
            <w:tcBorders>
              <w:top w:val="single" w:color="CCCCCC" w:sz="1"/>
              <w:left w:val="single" w:color="CCCCCC" w:sz="1"/>
              <w:bottom w:val="single" w:color="CCCCCC" w:sz="1"/>
              <w:right w:val="single" w:color="CCCCCC" w:sz="1"/>
            </w:tcBorders>
            <w:shd w:fill="E8EFF5"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Field CTO + Sales Leadership</w:t>
            </w:r>
          </w:p>
        </w:tc>
        <w:tc>
          <w:tcPr>
            <w:tcW w:type="dxa" w:w="2380"/>
            <w:gridSpan w:val="1"/>
            <w:tcBorders>
              <w:top w:val="single" w:color="CCCCCC" w:sz="1"/>
              <w:left w:val="single" w:color="CCCCCC" w:sz="1"/>
              <w:bottom w:val="single" w:color="CCCCCC" w:sz="1"/>
              <w:right w:val="single" w:color="CCCCCC" w:sz="1"/>
            </w:tcBorders>
            <w:shd w:fill="E8EFF5"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ALL</w:t>
            </w:r>
          </w:p>
        </w:tc>
      </w:tr>
    </w:tbl>
    <w:p>
      <w:r>
        <w:br w:type="page"/>
      </w:r>
    </w:p>
    <w:p>
      <w:pPr>
        <w:pStyle w:val="Heading1"/>
      </w:pPr>
      <w:r>
        <w:t xml:space="preserve">4. Opening: "What an Adversary Sees" (30 min)</w:t>
      </w:r>
    </w:p>
    <w:p>
      <w:pPr>
        <w:spacing w:after="100"/>
      </w:pPr>
      <w:r>
        <w:rPr>
          <w:rFonts w:ascii="Arial" w:cs="Arial" w:eastAsia="Arial" w:hAnsi="Arial"/>
          <w:b/>
          <w:bCs/>
          <w:sz w:val="21"/>
          <w:szCs w:val="21"/>
        </w:rPr>
        <w:t xml:space="preserve">Lead: </w:t>
      </w:r>
      <w:r>
        <w:rPr>
          <w:rFonts w:ascii="Arial" w:cs="Arial" w:eastAsia="Arial" w:hAnsi="Arial"/>
          <w:sz w:val="21"/>
          <w:szCs w:val="21"/>
        </w:rPr>
        <w:t xml:space="preserve">Cybersecurity Practice Leader</w:t>
      </w:r>
    </w:p>
    <w:p>
      <w:pPr>
        <w:spacing w:after="100"/>
      </w:pPr>
      <w:r>
        <w:rPr>
          <w:rFonts w:ascii="Arial" w:cs="Arial" w:eastAsia="Arial" w:hAnsi="Arial"/>
          <w:b/>
          <w:bCs/>
          <w:sz w:val="21"/>
          <w:szCs w:val="21"/>
        </w:rPr>
        <w:t xml:space="preserve">Purpose: </w:t>
      </w:r>
      <w:r>
        <w:rPr>
          <w:rFonts w:ascii="Arial" w:cs="Arial" w:eastAsia="Arial" w:hAnsi="Arial"/>
          <w:sz w:val="21"/>
          <w:szCs w:val="21"/>
        </w:rPr>
        <w:t xml:space="preserve">Establish immediate credibility. Show OTS that Pellera has already done the work. Every other session builds on what’s presented here.</w:t>
      </w:r>
    </w:p>
    <w:p>
      <w:pPr>
        <w:spacing w:after="140"/>
      </w:pPr>
    </w:p>
    <w:p>
      <w:pPr>
        <w:pStyle w:val="Heading3"/>
      </w:pPr>
      <w:r>
        <w:t xml:space="preserve">Structure</w:t>
      </w:r>
    </w:p>
    <w:p>
      <w:pPr>
        <w:pStyle w:val="ListParagraph"/>
        <w:numPr>
          <w:ilvl w:val="0"/>
          <w:numId w:val="2"/>
        </w:numPr>
        <w:spacing w:after="50"/>
      </w:pPr>
      <w:r>
        <w:rPr>
          <w:rFonts w:ascii="Arial" w:cs="Arial" w:eastAsia="Arial" w:hAnsi="Arial"/>
          <w:sz w:val="21"/>
          <w:szCs w:val="21"/>
        </w:rPr>
        <w:t xml:space="preserve">Set the frame: “We conducted a passive OSINT assessment of OTS and the consortium using only publicly available information. No systems were accessed. This is what a sophisticated adversary sees when they look at your organization.”</w:t>
      </w:r>
    </w:p>
    <w:p>
      <w:pPr>
        <w:pStyle w:val="ListParagraph"/>
        <w:numPr>
          <w:ilvl w:val="0"/>
          <w:numId w:val="2"/>
        </w:numPr>
        <w:spacing w:after="50"/>
      </w:pPr>
      <w:r>
        <w:rPr>
          <w:rFonts w:ascii="Arial" w:cs="Arial" w:eastAsia="Arial" w:hAnsi="Arial"/>
          <w:sz w:val="21"/>
          <w:szCs w:val="21"/>
        </w:rPr>
        <w:t xml:space="preserve">Show the numbers: $27.6B combined assets, 1.1M members, 15+ managed domains, 200+ subdomains discovered, 30+ technology vendors confirmed, 14 Shodan-visible services on legacy certificates.</w:t>
      </w:r>
    </w:p>
    <w:p>
      <w:pPr>
        <w:pStyle w:val="ListParagraph"/>
        <w:numPr>
          <w:ilvl w:val="0"/>
          <w:numId w:val="2"/>
        </w:numPr>
        <w:spacing w:after="50"/>
      </w:pPr>
      <w:r>
        <w:rPr>
          <w:rFonts w:ascii="Arial" w:cs="Arial" w:eastAsia="Arial" w:hAnsi="Arial"/>
          <w:sz w:val="21"/>
          <w:szCs w:val="21"/>
        </w:rPr>
        <w:t xml:space="preserve">Show the DNSDumpster infrastructure map of open-techs.com. Let the room absorb that all consortium entities share a single /24 subnet. Pause. Let them react.</w:t>
      </w:r>
    </w:p>
    <w:p>
      <w:pPr>
        <w:pStyle w:val="ListParagraph"/>
        <w:numPr>
          <w:ilvl w:val="0"/>
          <w:numId w:val="2"/>
        </w:numPr>
        <w:spacing w:after="50"/>
      </w:pPr>
      <w:r>
        <w:rPr>
          <w:rFonts w:ascii="Arial" w:cs="Arial" w:eastAsia="Arial" w:hAnsi="Arial"/>
          <w:sz w:val="21"/>
          <w:szCs w:val="21"/>
        </w:rPr>
        <w:t xml:space="preserve">Walk through the top 5 findings (from Section 2.4 above). Don’t go deep — plant the seeds. Each will be explored in its dedicated session.</w:t>
      </w:r>
    </w:p>
    <w:p>
      <w:pPr>
        <w:pStyle w:val="ListParagraph"/>
        <w:numPr>
          <w:ilvl w:val="0"/>
          <w:numId w:val="2"/>
        </w:numPr>
        <w:spacing w:after="50"/>
      </w:pPr>
      <w:r>
        <w:rPr>
          <w:rFonts w:ascii="Arial" w:cs="Arial" w:eastAsia="Arial" w:hAnsi="Arial"/>
          <w:sz w:val="21"/>
          <w:szCs w:val="21"/>
        </w:rPr>
        <w:t xml:space="preserve">Close with the financial context: “Industry benchmarks put a financial services breach at $6M average. With three CUs sharing infrastructure, one event triggers compounding exposure. Our conservative estimate is $15M–$50M for a significant incident.”</w:t>
      </w:r>
    </w:p>
    <w:p>
      <w:pPr>
        <w:spacing w:after="140"/>
      </w:pPr>
    </w:p>
    <w:p>
      <w:pPr>
        <w:pStyle w:val="Heading3"/>
      </w:pPr>
      <w:r>
        <w:t xml:space="preserve">Materials</w:t>
      </w:r>
    </w:p>
    <w:p>
      <w:pPr>
        <w:pStyle w:val="ListParagraph"/>
        <w:numPr>
          <w:ilvl w:val="0"/>
          <w:numId w:val="3"/>
        </w:numPr>
        <w:spacing w:after="50"/>
      </w:pPr>
      <w:r>
        <w:rPr>
          <w:rFonts w:ascii="Arial" w:cs="Arial" w:eastAsia="Arial" w:hAnsi="Arial"/>
          <w:sz w:val="21"/>
          <w:szCs w:val="21"/>
        </w:rPr>
        <w:t xml:space="preserve">DNSDumpster maps for open-techs.com, bellco.org, bethpagefcu.com (printed large or projected)</w:t>
      </w:r>
    </w:p>
    <w:p>
      <w:pPr>
        <w:pStyle w:val="ListParagraph"/>
        <w:numPr>
          <w:ilvl w:val="0"/>
          <w:numId w:val="3"/>
        </w:numPr>
        <w:spacing w:after="50"/>
      </w:pPr>
      <w:r>
        <w:rPr>
          <w:rFonts w:ascii="Arial" w:cs="Arial" w:eastAsia="Arial" w:hAnsi="Arial"/>
          <w:sz w:val="21"/>
          <w:szCs w:val="21"/>
        </w:rPr>
        <w:t xml:space="preserve">Shodan screenshot showing 14 legacy services</w:t>
      </w:r>
    </w:p>
    <w:p>
      <w:pPr>
        <w:pStyle w:val="ListParagraph"/>
        <w:numPr>
          <w:ilvl w:val="0"/>
          <w:numId w:val="3"/>
        </w:numPr>
        <w:spacing w:after="50"/>
      </w:pPr>
      <w:r>
        <w:rPr>
          <w:rFonts w:ascii="Arial" w:cs="Arial" w:eastAsia="Arial" w:hAnsi="Arial"/>
          <w:sz w:val="21"/>
          <w:szCs w:val="21"/>
        </w:rPr>
        <w:t xml:space="preserve">DMARC comparison table (bethpagefcu.com p=none highlighted)</w:t>
      </w:r>
    </w:p>
    <w:p>
      <w:pPr>
        <w:pStyle w:val="ListParagraph"/>
        <w:numPr>
          <w:ilvl w:val="0"/>
          <w:numId w:val="3"/>
        </w:numPr>
        <w:spacing w:after="50"/>
      </w:pPr>
      <w:r>
        <w:rPr>
          <w:rFonts w:ascii="Arial" w:cs="Arial" w:eastAsia="Arial" w:hAnsi="Arial"/>
          <w:sz w:val="21"/>
          <w:szCs w:val="21"/>
        </w:rPr>
        <w:t xml:space="preserve">The OSINT report itself (already in OTS’s hands as a consultative gift)</w:t>
      </w:r>
    </w:p>
    <w:p>
      <w:pPr>
        <w:spacing w:after="140"/>
      </w:pPr>
    </w:p>
    <w:p>
      <w:pPr>
        <w:spacing w:after="100"/>
      </w:pPr>
      <w:r>
        <w:rPr>
          <w:rFonts w:ascii="Arial" w:cs="Arial" w:eastAsia="Arial" w:hAnsi="Arial"/>
          <w:b/>
          <w:bCs/>
          <w:sz w:val="21"/>
          <w:szCs w:val="21"/>
        </w:rPr>
        <w:t xml:space="preserve">Tone: </w:t>
      </w:r>
      <w:r>
        <w:rPr>
          <w:rFonts w:ascii="Arial" w:cs="Arial" w:eastAsia="Arial" w:hAnsi="Arial"/>
          <w:sz w:val="21"/>
          <w:szCs w:val="21"/>
        </w:rPr>
        <w:t xml:space="preserve">Consultative, not adversarial. “We’re showing you what any motivated actor can see. Our goal is to help you close these gaps.”</w:t>
      </w:r>
    </w:p>
    <w:p>
      <w:r>
        <w:br w:type="page"/>
      </w:r>
    </w:p>
    <w:p>
      <w:pPr>
        <w:pStyle w:val="Heading1"/>
      </w:pPr>
      <w:r>
        <w:t xml:space="preserve">5. Session 1: Ransomware Recovery &amp; BCDR Architecture (45 min)</w:t>
      </w:r>
    </w:p>
    <w:p>
      <w:pPr>
        <w:spacing w:after="100"/>
      </w:pPr>
      <w:r>
        <w:rPr>
          <w:rFonts w:ascii="Arial" w:cs="Arial" w:eastAsia="Arial" w:hAnsi="Arial"/>
          <w:b/>
          <w:bCs/>
          <w:sz w:val="21"/>
          <w:szCs w:val="21"/>
        </w:rPr>
        <w:t xml:space="preserve">Lead: </w:t>
      </w:r>
      <w:r>
        <w:rPr>
          <w:rFonts w:ascii="Arial" w:cs="Arial" w:eastAsia="Arial" w:hAnsi="Arial"/>
          <w:sz w:val="21"/>
          <w:szCs w:val="21"/>
        </w:rPr>
        <w:t xml:space="preserve">Cybersecurity + Infrastructure Practice Leaders</w:t>
      </w:r>
    </w:p>
    <w:p>
      <w:pPr>
        <w:spacing w:after="100"/>
      </w:pPr>
      <w:r>
        <w:rPr>
          <w:rFonts w:ascii="Arial" w:cs="Arial" w:eastAsia="Arial" w:hAnsi="Arial"/>
          <w:b/>
          <w:bCs/>
          <w:sz w:val="21"/>
          <w:szCs w:val="21"/>
        </w:rPr>
        <w:t xml:space="preserve">OTS Priority: </w:t>
      </w:r>
      <w:r>
        <w:rPr>
          <w:rFonts w:ascii="Arial" w:cs="Arial" w:eastAsia="Arial" w:hAnsi="Arial"/>
          <w:sz w:val="21"/>
          <w:szCs w:val="21"/>
        </w:rPr>
        <w:t xml:space="preserve">Ransomware Recovery / BCDR — This is their #1 stated priority and their Chief Architect is actively publishing a 5-part series on BCDR first principles. Two parts are live, three are forthcoming (including one explicitly on cyber recovery). Use his published framework as shared vocabulary.</w:t>
      </w:r>
    </w:p>
    <w:p>
      <w:pPr>
        <w:spacing w:after="140"/>
      </w:pPr>
    </w:p>
    <w:p>
      <w:pPr>
        <w:pStyle w:val="Heading2"/>
      </w:pPr>
      <w:r>
        <w:t xml:space="preserve">5.1 Framework Alignment</w:t>
      </w:r>
    </w:p>
    <w:p>
      <w:pPr>
        <w:spacing w:after="100"/>
      </w:pPr>
      <w:r>
        <w:rPr>
          <w:rFonts w:ascii="Arial" w:cs="Arial" w:eastAsia="Arial" w:hAnsi="Arial"/>
          <w:sz w:val="21"/>
          <w:szCs w:val="21"/>
        </w:rPr>
        <w:t xml:space="preserve">OTS’s published architectural thinking on BCDR establishes three BC and three DR first principles. Our findings directly validate the risks those principles are designed to address:</w:t>
      </w:r>
    </w:p>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080"/>
      </w:tblGrid>
      <w:tr>
        <w:tc>
          <w:tcPr>
            <w:tcW w:type="dxa" w:w="30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30"/>
            </w:pPr>
            <w:r>
              <w:rPr>
                <w:rFonts w:ascii="Arial" w:cs="Arial" w:eastAsia="Arial" w:hAnsi="Arial"/>
                <w:b/>
                <w:bCs/>
                <w:color w:val="FFFFFF"/>
                <w:sz w:val="18"/>
                <w:szCs w:val="18"/>
              </w:rPr>
              <w:t xml:space="preserve">Their Published BCDR Principle</w:t>
            </w:r>
          </w:p>
        </w:tc>
        <w:tc>
          <w:tcPr>
            <w:tcW w:type="dxa" w:w="30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30"/>
            </w:pPr>
            <w:r>
              <w:rPr>
                <w:rFonts w:ascii="Arial" w:cs="Arial" w:eastAsia="Arial" w:hAnsi="Arial"/>
                <w:b/>
                <w:bCs/>
                <w:color w:val="FFFFFF"/>
                <w:sz w:val="18"/>
                <w:szCs w:val="18"/>
              </w:rPr>
              <w:t xml:space="preserve">Our Finding</w:t>
            </w:r>
          </w:p>
        </w:tc>
        <w:tc>
          <w:tcPr>
            <w:tcW w:type="dxa" w:w="408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30"/>
            </w:pPr>
            <w:r>
              <w:rPr>
                <w:rFonts w:ascii="Arial" w:cs="Arial" w:eastAsia="Arial" w:hAnsi="Arial"/>
                <w:b/>
                <w:bCs/>
                <w:color w:val="FFFFFF"/>
                <w:sz w:val="18"/>
                <w:szCs w:val="18"/>
              </w:rPr>
              <w:t xml:space="preserve">Discussion Point</w:t>
            </w:r>
          </w:p>
        </w:tc>
      </w:tr>
      <w:tr>
        <w:tc>
          <w:tcPr>
            <w:tcW w:type="dxa" w:w="3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"BC preserves the minimum viable business, not the full business"</w:t>
            </w:r>
          </w:p>
        </w:tc>
        <w:tc>
          <w:tcPr>
            <w:tcW w:type="dxa" w:w="3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3 CUs share OTS infra — but each CU has a different minimum viable business</w:t>
            </w:r>
          </w:p>
        </w:tc>
        <w:tc>
          <w:tcPr>
            <w:tcW w:type="dxa" w:w="40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Have you defined the MVB separately for each CU? Can each CU survive independently if OTS is down?</w:t>
            </w:r>
          </w:p>
        </w:tc>
      </w:tr>
      <w:tr>
        <w:tc>
          <w:tcPr>
            <w:tcW w:type="dxa" w:w="3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"DR is ordered, not parallel — identity before applications"</w:t>
            </w:r>
          </w:p>
        </w:tc>
        <w:tc>
          <w:tcPr>
            <w:tcW w:type="dxa" w:w="3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Bellco ADFS (.209) and FourLeaf auth (.11) on same /24 — identity can’t recover independently of apps</w:t>
            </w:r>
          </w:p>
        </w:tc>
        <w:tc>
          <w:tcPr>
            <w:tcW w:type="dxa" w:w="40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Can you sequence identity recovery independently of the application tier on your current subnet?</w:t>
            </w:r>
          </w:p>
        </w:tc>
      </w:tr>
      <w:tr>
        <w:tc>
          <w:tcPr>
            <w:tcW w:type="dxa" w:w="3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"DR prioritizes data integrity over recovery speed"</w:t>
            </w:r>
          </w:p>
        </w:tc>
        <w:tc>
          <w:tcPr>
            <w:tcW w:type="dxa" w:w="3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All 3 CUs on shared Fiserv DNA — inconsistent recovery timestamps create reconciliation nightmares</w:t>
            </w:r>
          </w:p>
        </w:tc>
        <w:tc>
          <w:tcPr>
            <w:tcW w:type="dxa" w:w="40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How do you handle multi-entity data consistency when recovering three CUs from one core?</w:t>
            </w:r>
          </w:p>
        </w:tc>
      </w:tr>
      <w:tr>
        <w:tc>
          <w:tcPr>
            <w:tcW w:type="dxa" w:w="3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"BC assumes people, facilities, and suppliers fail alongside technology"</w:t>
            </w:r>
          </w:p>
        </w:tc>
        <w:tc>
          <w:tcPr>
            <w:tcW w:type="dxa" w:w="3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OTS IS the supplier for all 3 CUs</w:t>
            </w:r>
          </w:p>
        </w:tc>
        <w:tc>
          <w:tcPr>
            <w:tcW w:type="dxa" w:w="40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What’s the continuity plan if OTS itself is the compromised entity?</w:t>
            </w:r>
          </w:p>
        </w:tc>
      </w:tr>
      <w:tr>
        <w:tc>
          <w:tcPr>
            <w:tcW w:type="dxa" w:w="3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"DR requires verification, not just automation"</w:t>
            </w:r>
          </w:p>
        </w:tc>
        <w:tc>
          <w:tcPr>
            <w:tcW w:type="dxa" w:w="3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Detectify ASM deployed but gaps across 15+ legacy/marketing domains</w:t>
            </w:r>
          </w:p>
        </w:tc>
        <w:tc>
          <w:tcPr>
            <w:tcW w:type="dxa" w:w="40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Are you verifying your full attack surface as part of BCDR testing?</w:t>
            </w:r>
          </w:p>
        </w:tc>
      </w:tr>
    </w:tbl>
    <w:p>
      <w:pPr>
        <w:spacing w:after="140"/>
      </w:pPr>
    </w:p>
    <w:p>
      <w:pPr>
        <w:pStyle w:val="Heading2"/>
      </w:pPr>
      <w:r>
        <w:t xml:space="preserve">5.2 Cybersecurity Talking Points</w:t>
      </w:r>
    </w:p>
    <w:p>
      <w:pPr>
        <w:pStyle w:val="ListParagraph"/>
        <w:numPr>
          <w:ilvl w:val="0"/>
          <w:numId w:val="3"/>
        </w:numPr>
        <w:spacing w:after="50"/>
      </w:pPr>
      <w:r>
        <w:rPr>
          <w:rFonts w:ascii="Arial" w:cs="Arial" w:eastAsia="Arial" w:hAnsi="Arial"/>
          <w:sz w:val="21"/>
          <w:szCs w:val="21"/>
        </w:rPr>
        <w:t xml:space="preserve">The shared /24 means one ransomware event creates three simultaneous CU outages and three NCUA 72-hour notification obligations.</w:t>
      </w:r>
    </w:p>
    <w:p>
      <w:pPr>
        <w:pStyle w:val="ListParagraph"/>
        <w:numPr>
          <w:ilvl w:val="0"/>
          <w:numId w:val="3"/>
        </w:numPr>
        <w:spacing w:after="50"/>
      </w:pPr>
      <w:r>
        <w:rPr>
          <w:rFonts w:ascii="Arial" w:cs="Arial" w:eastAsia="Arial" w:hAnsi="Arial"/>
          <w:sz w:val="21"/>
          <w:szCs w:val="21"/>
        </w:rPr>
        <w:t xml:space="preserve">Mixed firewall (Palo Alto + Cisco ASA) means two management planes to recover in the correct sequence.</w:t>
      </w:r>
    </w:p>
    <w:p>
      <w:pPr>
        <w:pStyle w:val="ListParagraph"/>
        <w:numPr>
          <w:ilvl w:val="0"/>
          <w:numId w:val="3"/>
        </w:numPr>
        <w:spacing w:after="50"/>
      </w:pPr>
      <w:r>
        <w:rPr>
          <w:rFonts w:ascii="Arial" w:cs="Arial" w:eastAsia="Arial" w:hAnsi="Arial"/>
          <w:sz w:val="21"/>
          <w:szCs w:val="21"/>
        </w:rPr>
        <w:t xml:space="preserve">OTS DNS is authoritative for all domains — if DNS is encrypted, no CU is reachable even if their systems recover.</w:t>
      </w:r>
    </w:p>
    <w:p>
      <w:pPr>
        <w:pStyle w:val="ListParagraph"/>
        <w:numPr>
          <w:ilvl w:val="0"/>
          <w:numId w:val="3"/>
        </w:numPr>
        <w:spacing w:after="50"/>
      </w:pPr>
      <w:r>
        <w:rPr>
          <w:rFonts w:ascii="Arial" w:cs="Arial" w:eastAsia="Arial" w:hAnsi="Arial"/>
          <w:sz w:val="21"/>
          <w:szCs w:val="21"/>
        </w:rPr>
        <w:t xml:space="preserve">The Bethpage-to-FourLeaf rebrand adds DR complexity: which domain do you restore to? Which certificates? Which SPF records?</w:t>
      </w:r>
    </w:p>
    <w:p>
      <w:pPr>
        <w:pStyle w:val="ListParagraph"/>
        <w:numPr>
          <w:ilvl w:val="0"/>
          <w:numId w:val="3"/>
        </w:numPr>
        <w:spacing w:after="50"/>
      </w:pPr>
      <w:r>
        <w:rPr>
          <w:rFonts w:ascii="Arial" w:cs="Arial" w:eastAsia="Arial" w:hAnsi="Arial"/>
          <w:sz w:val="21"/>
          <w:szCs w:val="21"/>
        </w:rPr>
        <w:t xml:space="preserve">The 2012 Bethpage breach happened during a card platform transition. History shows transitions are when mistakes happen.</w:t>
      </w:r>
    </w:p>
    <w:p>
      <w:pPr>
        <w:spacing w:after="140"/>
      </w:pPr>
    </w:p>
    <w:p>
      <w:pPr>
        <w:pStyle w:val="Heading2"/>
      </w:pPr>
      <w:r>
        <w:t xml:space="preserve">5.3 Infrastructure Talking Points</w:t>
      </w:r>
    </w:p>
    <w:p>
      <w:pPr>
        <w:pStyle w:val="ListParagraph"/>
        <w:numPr>
          <w:ilvl w:val="0"/>
          <w:numId w:val="3"/>
        </w:numPr>
        <w:spacing w:after="50"/>
      </w:pPr>
      <w:r>
        <w:rPr>
          <w:rFonts w:ascii="Arial" w:cs="Arial" w:eastAsia="Arial" w:hAnsi="Arial"/>
          <w:sz w:val="21"/>
          <w:szCs w:val="21"/>
        </w:rPr>
        <w:t xml:space="preserve">Flexential Colorado colo houses the primary DC. What does failover to the secondary/tertiary look like? Is it tested?</w:t>
      </w:r>
    </w:p>
    <w:p>
      <w:pPr>
        <w:pStyle w:val="ListParagraph"/>
        <w:numPr>
          <w:ilvl w:val="0"/>
          <w:numId w:val="3"/>
        </w:numPr>
        <w:spacing w:after="50"/>
      </w:pPr>
      <w:r>
        <w:rPr>
          <w:rFonts w:ascii="Arial" w:cs="Arial" w:eastAsia="Arial" w:hAnsi="Arial"/>
          <w:sz w:val="21"/>
          <w:szCs w:val="21"/>
        </w:rPr>
        <w:t xml:space="preserve">The three data centers (confirmed via OpCon case study) — are they active-active, active-passive, or cold standby?</w:t>
      </w:r>
    </w:p>
    <w:p>
      <w:pPr>
        <w:pStyle w:val="ListParagraph"/>
        <w:numPr>
          <w:ilvl w:val="0"/>
          <w:numId w:val="3"/>
        </w:numPr>
        <w:spacing w:after="50"/>
      </w:pPr>
      <w:r>
        <w:rPr>
          <w:rFonts w:ascii="Arial" w:cs="Arial" w:eastAsia="Arial" w:hAnsi="Arial"/>
          <w:sz w:val="21"/>
          <w:szCs w:val="21"/>
        </w:rPr>
        <w:t xml:space="preserve">Network segmentation within the /24: is there east-west firewall policy between CU workloads, or is it flat?</w:t>
      </w:r>
    </w:p>
    <w:p>
      <w:pPr>
        <w:pStyle w:val="ListParagraph"/>
        <w:numPr>
          <w:ilvl w:val="0"/>
          <w:numId w:val="3"/>
        </w:numPr>
        <w:spacing w:after="50"/>
      </w:pPr>
      <w:r>
        <w:rPr>
          <w:rFonts w:ascii="Arial" w:cs="Arial" w:eastAsia="Arial" w:hAnsi="Arial"/>
          <w:sz w:val="21"/>
          <w:szCs w:val="21"/>
        </w:rPr>
        <w:t xml:space="preserve">DNS recovery: OTS runs dns3/5/6.open-techs.com for everything. Is there a secondary DNS provider for resilience?</w:t>
      </w:r>
    </w:p>
    <w:p>
      <w:pPr>
        <w:spacing w:after="140"/>
      </w:pPr>
    </w:p>
    <w:p>
      <w:pPr>
        <w:pStyle w:val="Heading2"/>
      </w:pPr>
      <w:r>
        <w:t xml:space="preserve">5.4 The Killer Moment</w:t>
      </w:r>
    </w:p>
    <w:p>
      <w:pPr>
        <w:spacing w:after="100"/>
      </w:pPr>
      <w:r>
        <w:rPr>
          <w:rFonts w:ascii="Arial" w:cs="Arial" w:eastAsia="Arial" w:hAnsi="Arial"/>
          <w:b/>
          <w:bCs/>
          <w:sz w:val="21"/>
          <w:szCs w:val="21"/>
        </w:rPr>
        <w:t xml:space="preserve">Project the open-techs.com DNSDumpster map. </w:t>
      </w:r>
      <w:r>
        <w:rPr>
          <w:rFonts w:ascii="Arial" w:cs="Arial" w:eastAsia="Arial" w:hAnsi="Arial"/>
          <w:sz w:val="21"/>
          <w:szCs w:val="21"/>
        </w:rPr>
        <w:t xml:space="preserve">Point to the AT&amp;T 12.178.x.x block where everything lives. Then say: “Your published BCDR principles say DR must be ordered, not parallel. Looking at this map — where everything shares a single network — walk us through the first 60 minutes of your recovery sequence.”</w:t>
      </w:r>
    </w:p>
    <w:p>
      <w:pPr>
        <w:spacing w:after="140"/>
      </w:pPr>
    </w:p>
    <w:p>
      <w:pPr>
        <w:pStyle w:val="Heading2"/>
      </w:pPr>
      <w:r>
        <w:t xml:space="preserve">5.5 Pellera Offerings to Position</w:t>
      </w:r>
    </w:p>
    <w:p>
      <w:pPr>
        <w:pStyle w:val="ListParagraph"/>
        <w:numPr>
          <w:ilvl w:val="0"/>
          <w:numId w:val="3"/>
        </w:numPr>
        <w:spacing w:after="50"/>
      </w:pPr>
      <w:r>
        <w:rPr>
          <w:rFonts w:ascii="Arial" w:cs="Arial" w:eastAsia="Arial" w:hAnsi="Arial"/>
          <w:sz w:val="21"/>
          <w:szCs w:val="21"/>
        </w:rPr>
        <w:t xml:space="preserve">IR Retainer: consortium-specific playbooks, 2-hour response SLA, pre-staged forensics</w:t>
      </w:r>
    </w:p>
    <w:p>
      <w:pPr>
        <w:pStyle w:val="ListParagraph"/>
        <w:numPr>
          <w:ilvl w:val="0"/>
          <w:numId w:val="3"/>
        </w:numPr>
        <w:spacing w:after="50"/>
      </w:pPr>
      <w:r>
        <w:rPr>
          <w:rFonts w:ascii="Arial" w:cs="Arial" w:eastAsia="Arial" w:hAnsi="Arial"/>
          <w:sz w:val="21"/>
          <w:szCs w:val="21"/>
        </w:rPr>
        <w:t xml:space="preserve">BCDR Architecture Review: validate recovery sequencing against the infrastructure we’ve mapped</w:t>
      </w:r>
    </w:p>
    <w:p>
      <w:pPr>
        <w:pStyle w:val="ListParagraph"/>
        <w:numPr>
          <w:ilvl w:val="0"/>
          <w:numId w:val="3"/>
        </w:numPr>
        <w:spacing w:after="50"/>
      </w:pPr>
      <w:r>
        <w:rPr>
          <w:rFonts w:ascii="Arial" w:cs="Arial" w:eastAsia="Arial" w:hAnsi="Arial"/>
          <w:sz w:val="21"/>
          <w:szCs w:val="21"/>
        </w:rPr>
        <w:t xml:space="preserve">Tabletop Exercise: “Ransomware on 12.178.113.0/24 at 2am Saturday”</w:t>
      </w:r>
    </w:p>
    <w:p>
      <w:pPr>
        <w:pStyle w:val="ListParagraph"/>
        <w:numPr>
          <w:ilvl w:val="0"/>
          <w:numId w:val="3"/>
        </w:numPr>
        <w:spacing w:after="50"/>
      </w:pPr>
      <w:r>
        <w:rPr>
          <w:rFonts w:ascii="Arial" w:cs="Arial" w:eastAsia="Arial" w:hAnsi="Arial"/>
          <w:sz w:val="21"/>
          <w:szCs w:val="21"/>
        </w:rPr>
        <w:t xml:space="preserve">Cyber Recovery Planning: recovering from compromise vs. recovering from failure</w:t>
      </w:r>
    </w:p>
    <w:p>
      <w:r>
        <w:br w:type="page"/>
      </w:r>
    </w:p>
    <w:p>
      <w:pPr>
        <w:pStyle w:val="Heading1"/>
      </w:pPr>
      <w:r>
        <w:t xml:space="preserve">6. Session 2: Identity, Privileged Access &amp; Zero Trust (30 min)</w:t>
      </w:r>
    </w:p>
    <w:p>
      <w:pPr>
        <w:spacing w:after="100"/>
      </w:pPr>
      <w:r>
        <w:rPr>
          <w:rFonts w:ascii="Arial" w:cs="Arial" w:eastAsia="Arial" w:hAnsi="Arial"/>
          <w:b/>
          <w:bCs/>
          <w:sz w:val="21"/>
          <w:szCs w:val="21"/>
        </w:rPr>
        <w:t xml:space="preserve">Lead: </w:t>
      </w:r>
      <w:r>
        <w:rPr>
          <w:rFonts w:ascii="Arial" w:cs="Arial" w:eastAsia="Arial" w:hAnsi="Arial"/>
          <w:sz w:val="21"/>
          <w:szCs w:val="21"/>
        </w:rPr>
        <w:t xml:space="preserve">Cybersecurity + Infrastructure + Field CTO</w:t>
      </w:r>
    </w:p>
    <w:p>
      <w:pPr>
        <w:spacing w:after="100"/>
      </w:pPr>
      <w:r>
        <w:rPr>
          <w:rFonts w:ascii="Arial" w:cs="Arial" w:eastAsia="Arial" w:hAnsi="Arial"/>
          <w:b/>
          <w:bCs/>
          <w:sz w:val="21"/>
          <w:szCs w:val="21"/>
        </w:rPr>
        <w:t xml:space="preserve">OTS Priority: </w:t>
      </w:r>
      <w:r>
        <w:rPr>
          <w:rFonts w:ascii="Arial" w:cs="Arial" w:eastAsia="Arial" w:hAnsi="Arial"/>
          <w:sz w:val="21"/>
          <w:szCs w:val="21"/>
        </w:rPr>
        <w:t xml:space="preserve">PAM / IAM</w:t>
      </w:r>
    </w:p>
    <w:p>
      <w:pPr>
        <w:spacing w:after="140"/>
      </w:pPr>
    </w:p>
    <w:p>
      <w:pPr>
        <w:pStyle w:val="Heading2"/>
      </w:pPr>
      <w:r>
        <w:t xml:space="preserve">6.1 Cybersecurity Talking Points</w:t>
      </w:r>
    </w:p>
    <w:p>
      <w:pPr>
        <w:pStyle w:val="ListParagraph"/>
        <w:numPr>
          <w:ilvl w:val="0"/>
          <w:numId w:val="3"/>
        </w:numPr>
        <w:spacing w:after="50"/>
      </w:pPr>
      <w:r>
        <w:rPr>
          <w:rFonts w:ascii="Arial" w:cs="Arial" w:eastAsia="Arial" w:hAnsi="Arial"/>
          <w:sz w:val="21"/>
          <w:szCs w:val="21"/>
        </w:rPr>
        <w:t xml:space="preserve">Golden SAML risk: ADFS for two CUs on the same /24 — compromise one, forge tokens for both CUs’ cloud apps.</w:t>
      </w:r>
    </w:p>
    <w:p>
      <w:pPr>
        <w:pStyle w:val="ListParagraph"/>
        <w:numPr>
          <w:ilvl w:val="0"/>
          <w:numId w:val="3"/>
        </w:numPr>
        <w:spacing w:after="50"/>
      </w:pPr>
      <w:r>
        <w:rPr>
          <w:rFonts w:ascii="Arial" w:cs="Arial" w:eastAsia="Arial" w:hAnsi="Arial"/>
          <w:sz w:val="21"/>
          <w:szCs w:val="21"/>
        </w:rPr>
        <w:t xml:space="preserve">Test ADFS (adfs-test.fourleaffcu.com) resolves to Palo Alto Prisma — if federated with production Azure AD, it’s a softer entry point.</w:t>
      </w:r>
    </w:p>
    <w:p>
      <w:pPr>
        <w:pStyle w:val="ListParagraph"/>
        <w:numPr>
          <w:ilvl w:val="0"/>
          <w:numId w:val="3"/>
        </w:numPr>
        <w:spacing w:after="50"/>
      </w:pPr>
      <w:r>
        <w:rPr>
          <w:rFonts w:ascii="Arial" w:cs="Arial" w:eastAsia="Arial" w:hAnsi="Arial"/>
          <w:sz w:val="21"/>
          <w:szCs w:val="21"/>
        </w:rPr>
        <w:t xml:space="preserve">OTS admin identities exposed via WHOIS (names, email, phone, email format confirmed) — targeted credential attacks are trivially easy.</w:t>
      </w:r>
    </w:p>
    <w:p>
      <w:pPr>
        <w:pStyle w:val="ListParagraph"/>
        <w:numPr>
          <w:ilvl w:val="0"/>
          <w:numId w:val="3"/>
        </w:numPr>
        <w:spacing w:after="50"/>
      </w:pPr>
      <w:r>
        <w:rPr>
          <w:rFonts w:ascii="Arial" w:cs="Arial" w:eastAsia="Arial" w:hAnsi="Arial"/>
          <w:sz w:val="21"/>
          <w:szCs w:val="21"/>
        </w:rPr>
        <w:t xml:space="preserve">Three VPN platforms (GlobalProtect + Cisco ASA + Citrix) — are all three enforcing consistent MFA? Legacy platforms often have weaker auth.</w:t>
      </w:r>
    </w:p>
    <w:p>
      <w:pPr>
        <w:pStyle w:val="ListParagraph"/>
        <w:numPr>
          <w:ilvl w:val="0"/>
          <w:numId w:val="3"/>
        </w:numPr>
        <w:spacing w:after="50"/>
      </w:pPr>
      <w:r>
        <w:rPr>
          <w:rFonts w:ascii="Arial" w:cs="Arial" w:eastAsia="Arial" w:hAnsi="Arial"/>
          <w:sz w:val="21"/>
          <w:szCs w:val="21"/>
        </w:rPr>
        <w:t xml:space="preserve">NYDFS 23 NYCRR 500 requires MFA for all privileged access at FourLeaf — can they demonstrate compliance on every access path?</w:t>
      </w:r>
    </w:p>
    <w:p>
      <w:pPr>
        <w:spacing w:after="140"/>
      </w:pPr>
    </w:p>
    <w:p>
      <w:pPr>
        <w:pStyle w:val="Heading2"/>
      </w:pPr>
      <w:r>
        <w:t xml:space="preserve">6.2 Infrastructure Talking Points</w:t>
      </w:r>
    </w:p>
    <w:p>
      <w:pPr>
        <w:pStyle w:val="ListParagraph"/>
        <w:numPr>
          <w:ilvl w:val="0"/>
          <w:numId w:val="3"/>
        </w:numPr>
        <w:spacing w:after="50"/>
      </w:pPr>
      <w:r>
        <w:rPr>
          <w:rFonts w:ascii="Arial" w:cs="Arial" w:eastAsia="Arial" w:hAnsi="Arial"/>
          <w:sz w:val="21"/>
          <w:szCs w:val="21"/>
        </w:rPr>
        <w:t xml:space="preserve">ADFS migration path: are they planning to move from on-prem ADFS to Azure AD / Entra ID native auth? This is the natural evolution.</w:t>
      </w:r>
    </w:p>
    <w:p>
      <w:pPr>
        <w:pStyle w:val="ListParagraph"/>
        <w:numPr>
          <w:ilvl w:val="0"/>
          <w:numId w:val="3"/>
        </w:numPr>
        <w:spacing w:after="50"/>
      </w:pPr>
      <w:r>
        <w:rPr>
          <w:rFonts w:ascii="Arial" w:cs="Arial" w:eastAsia="Arial" w:hAnsi="Arial"/>
          <w:sz w:val="21"/>
          <w:szCs w:val="21"/>
        </w:rPr>
        <w:t xml:space="preserve">Conditional access policies: with three CUs sharing an Azure AD environment, are per-entity conditional access policies in place?</w:t>
      </w:r>
    </w:p>
    <w:p>
      <w:pPr>
        <w:pStyle w:val="ListParagraph"/>
        <w:numPr>
          <w:ilvl w:val="0"/>
          <w:numId w:val="3"/>
        </w:numPr>
        <w:spacing w:after="50"/>
      </w:pPr>
      <w:r>
        <w:rPr>
          <w:rFonts w:ascii="Arial" w:cs="Arial" w:eastAsia="Arial" w:hAnsi="Arial"/>
          <w:sz w:val="21"/>
          <w:szCs w:val="21"/>
        </w:rPr>
        <w:t xml:space="preserve">Service account sprawl: in a shared data center serving three entities, how many service accounts have cross-CU access?</w:t>
      </w:r>
    </w:p>
    <w:p>
      <w:pPr>
        <w:spacing w:after="140"/>
      </w:pPr>
    </w:p>
    <w:p>
      <w:pPr>
        <w:pStyle w:val="Heading2"/>
      </w:pPr>
      <w:r>
        <w:t xml:space="preserve">6.3 Field CTO Talking Points</w:t>
      </w:r>
    </w:p>
    <w:p>
      <w:pPr>
        <w:pStyle w:val="ListParagraph"/>
        <w:numPr>
          <w:ilvl w:val="0"/>
          <w:numId w:val="3"/>
        </w:numPr>
        <w:spacing w:after="50"/>
      </w:pPr>
      <w:r>
        <w:rPr>
          <w:rFonts w:ascii="Arial" w:cs="Arial" w:eastAsia="Arial" w:hAnsi="Arial"/>
          <w:sz w:val="21"/>
          <w:szCs w:val="21"/>
        </w:rPr>
        <w:t xml:space="preserve">Zero Trust architecture: OTS’s shared model creates exceptional efficiency but concentrates identity risk. Zero Trust (verify every request regardless of network location) is the natural evolution for a multi-tenant CUSO.</w:t>
      </w:r>
    </w:p>
    <w:p>
      <w:pPr>
        <w:pStyle w:val="ListParagraph"/>
        <w:numPr>
          <w:ilvl w:val="0"/>
          <w:numId w:val="3"/>
        </w:numPr>
        <w:spacing w:after="50"/>
      </w:pPr>
      <w:r>
        <w:rPr>
          <w:rFonts w:ascii="Arial" w:cs="Arial" w:eastAsia="Arial" w:hAnsi="Arial"/>
          <w:sz w:val="21"/>
          <w:szCs w:val="21"/>
        </w:rPr>
        <w:t xml:space="preserve">Identity-based micro-segmentation: replace network-level trust (flat /24) with identity-verified access per workload.</w:t>
      </w:r>
    </w:p>
    <w:p>
      <w:pPr>
        <w:pStyle w:val="ListParagraph"/>
        <w:numPr>
          <w:ilvl w:val="0"/>
          <w:numId w:val="3"/>
        </w:numPr>
        <w:spacing w:after="50"/>
      </w:pPr>
      <w:r>
        <w:rPr>
          <w:rFonts w:ascii="Arial" w:cs="Arial" w:eastAsia="Arial" w:hAnsi="Arial"/>
          <w:sz w:val="21"/>
          <w:szCs w:val="21"/>
        </w:rPr>
        <w:t xml:space="preserve">Privileged Access Management governance for a CUSO model: how do you manage lifecycle when OTS engineers serve three separate regulated entities? What happens when an engineer with cross-CU access leaves?</w:t>
      </w:r>
    </w:p>
    <w:p>
      <w:pPr>
        <w:spacing w:after="140"/>
      </w:pPr>
    </w:p>
    <w:p>
      <w:pPr>
        <w:pStyle w:val="Heading2"/>
      </w:pPr>
      <w:r>
        <w:t xml:space="preserve">6.4 Pellera Offerings to Position</w:t>
      </w:r>
    </w:p>
    <w:p>
      <w:pPr>
        <w:pStyle w:val="ListParagraph"/>
        <w:numPr>
          <w:ilvl w:val="0"/>
          <w:numId w:val="3"/>
        </w:numPr>
        <w:spacing w:after="50"/>
      </w:pPr>
      <w:r>
        <w:rPr>
          <w:rFonts w:ascii="Arial" w:cs="Arial" w:eastAsia="Arial" w:hAnsi="Arial"/>
          <w:sz w:val="21"/>
          <w:szCs w:val="21"/>
        </w:rPr>
        <w:t xml:space="preserve">PAM Assessment: map all privileged accounts with cross-entity access, validate MFA enforcement, test token isolation</w:t>
      </w:r>
    </w:p>
    <w:p>
      <w:pPr>
        <w:pStyle w:val="ListParagraph"/>
        <w:numPr>
          <w:ilvl w:val="0"/>
          <w:numId w:val="3"/>
        </w:numPr>
        <w:spacing w:after="50"/>
      </w:pPr>
      <w:r>
        <w:rPr>
          <w:rFonts w:ascii="Arial" w:cs="Arial" w:eastAsia="Arial" w:hAnsi="Arial"/>
          <w:sz w:val="21"/>
          <w:szCs w:val="21"/>
        </w:rPr>
        <w:t xml:space="preserve">Zero Trust Architecture Advisory: design identity-based segmentation for the consortium</w:t>
      </w:r>
    </w:p>
    <w:p>
      <w:pPr>
        <w:pStyle w:val="ListParagraph"/>
        <w:numPr>
          <w:ilvl w:val="0"/>
          <w:numId w:val="3"/>
        </w:numPr>
        <w:spacing w:after="50"/>
      </w:pPr>
      <w:r>
        <w:rPr>
          <w:rFonts w:ascii="Arial" w:cs="Arial" w:eastAsia="Arial" w:hAnsi="Arial"/>
          <w:sz w:val="21"/>
          <w:szCs w:val="21"/>
        </w:rPr>
        <w:t xml:space="preserve">NYDFS 23 NYCRR 500 compliance validation for FourLeaf</w:t>
      </w:r>
    </w:p>
    <w:p>
      <w:r>
        <w:br w:type="page"/>
      </w:r>
    </w:p>
    <w:p>
      <w:pPr>
        <w:pStyle w:val="Heading1"/>
      </w:pPr>
      <w:r>
        <w:t xml:space="preserve">7. Session 3: Observability, Logging &amp; Intelligent Operations (30 min)</w:t>
      </w:r>
    </w:p>
    <w:p>
      <w:pPr>
        <w:spacing w:after="100"/>
      </w:pPr>
      <w:r>
        <w:rPr>
          <w:rFonts w:ascii="Arial" w:cs="Arial" w:eastAsia="Arial" w:hAnsi="Arial"/>
          <w:b/>
          <w:bCs/>
          <w:sz w:val="21"/>
          <w:szCs w:val="21"/>
        </w:rPr>
        <w:t xml:space="preserve">Lead: </w:t>
      </w:r>
      <w:r>
        <w:rPr>
          <w:rFonts w:ascii="Arial" w:cs="Arial" w:eastAsia="Arial" w:hAnsi="Arial"/>
          <w:sz w:val="21"/>
          <w:szCs w:val="21"/>
        </w:rPr>
        <w:t xml:space="preserve">Cybersecurity + AI + Infrastructure</w:t>
      </w:r>
    </w:p>
    <w:p>
      <w:pPr>
        <w:spacing w:after="100"/>
      </w:pPr>
      <w:r>
        <w:rPr>
          <w:rFonts w:ascii="Arial" w:cs="Arial" w:eastAsia="Arial" w:hAnsi="Arial"/>
          <w:b/>
          <w:bCs/>
          <w:sz w:val="21"/>
          <w:szCs w:val="21"/>
        </w:rPr>
        <w:t xml:space="preserve">OTS Priority: </w:t>
      </w:r>
      <w:r>
        <w:rPr>
          <w:rFonts w:ascii="Arial" w:cs="Arial" w:eastAsia="Arial" w:hAnsi="Arial"/>
          <w:sz w:val="21"/>
          <w:szCs w:val="21"/>
        </w:rPr>
        <w:t xml:space="preserve">Enterprise Logging / Observability</w:t>
      </w:r>
    </w:p>
    <w:p>
      <w:pPr>
        <w:spacing w:after="140"/>
      </w:pPr>
    </w:p>
    <w:p>
      <w:pPr>
        <w:spacing w:after="100"/>
      </w:pPr>
      <w:r>
        <w:rPr>
          <w:rFonts w:ascii="Arial" w:cs="Arial" w:eastAsia="Arial" w:hAnsi="Arial"/>
          <w:sz w:val="21"/>
          <w:szCs w:val="21"/>
        </w:rPr>
        <w:t xml:space="preserve">Frame this as the connective tissue: without observability, you can’t detect the attack (Session 1), can’t verify identity compromise (Session 2), and can’t prove compliance to regulators.</w:t>
      </w:r>
    </w:p>
    <w:p>
      <w:pPr>
        <w:spacing w:after="140"/>
      </w:pPr>
    </w:p>
    <w:p>
      <w:pPr>
        <w:pStyle w:val="Heading2"/>
      </w:pPr>
      <w:r>
        <w:t xml:space="preserve">7.1 Cybersecurity Talking Points</w:t>
      </w:r>
    </w:p>
    <w:p>
      <w:pPr>
        <w:pStyle w:val="ListParagraph"/>
        <w:numPr>
          <w:ilvl w:val="0"/>
          <w:numId w:val="3"/>
        </w:numPr>
        <w:spacing w:after="50"/>
      </w:pPr>
      <w:r>
        <w:rPr>
          <w:rFonts w:ascii="Arial" w:cs="Arial" w:eastAsia="Arial" w:hAnsi="Arial"/>
          <w:sz w:val="21"/>
          <w:szCs w:val="21"/>
        </w:rPr>
        <w:t xml:space="preserve">30+ confirmed vendors = 30+ log formats, retention policies, and locations. How many feed into a unified platform today?</w:t>
      </w:r>
    </w:p>
    <w:p>
      <w:pPr>
        <w:pStyle w:val="ListParagraph"/>
        <w:numPr>
          <w:ilvl w:val="0"/>
          <w:numId w:val="3"/>
        </w:numPr>
        <w:spacing w:after="50"/>
      </w:pPr>
      <w:r>
        <w:rPr>
          <w:rFonts w:ascii="Arial" w:cs="Arial" w:eastAsia="Arial" w:hAnsi="Arial"/>
          <w:sz w:val="21"/>
          <w:szCs w:val="21"/>
        </w:rPr>
        <w:t xml:space="preserve">OTS has an ISOC (isoc.open-techs.com confirmed) — but does it correlate Palo Alto, Cisco ASA, M365, AWS, Azure, GCP, and Proofpoint in real time?</w:t>
      </w:r>
    </w:p>
    <w:p>
      <w:pPr>
        <w:pStyle w:val="ListParagraph"/>
        <w:numPr>
          <w:ilvl w:val="0"/>
          <w:numId w:val="3"/>
        </w:numPr>
        <w:spacing w:after="50"/>
      </w:pPr>
      <w:r>
        <w:rPr>
          <w:rFonts w:ascii="Arial" w:cs="Arial" w:eastAsia="Arial" w:hAnsi="Arial"/>
          <w:sz w:val="21"/>
          <w:szCs w:val="21"/>
        </w:rPr>
        <w:t xml:space="preserve">Shodan shows 14 exposed legacy services — are these generating alerts, or have they aged out of monitoring scope?</w:t>
      </w:r>
    </w:p>
    <w:p>
      <w:pPr>
        <w:pStyle w:val="ListParagraph"/>
        <w:numPr>
          <w:ilvl w:val="0"/>
          <w:numId w:val="3"/>
        </w:numPr>
        <w:spacing w:after="50"/>
      </w:pPr>
      <w:r>
        <w:rPr>
          <w:rFonts w:ascii="Arial" w:cs="Arial" w:eastAsia="Arial" w:hAnsi="Arial"/>
          <w:sz w:val="21"/>
          <w:szCs w:val="21"/>
        </w:rPr>
        <w:t xml:space="preserve">Retired/legacy assets (bethpage.retired, 85+ bethpagefcu.com subdomains) are the #1 monitoring blind spot.</w:t>
      </w:r>
    </w:p>
    <w:p>
      <w:pPr>
        <w:pStyle w:val="ListParagraph"/>
        <w:numPr>
          <w:ilvl w:val="0"/>
          <w:numId w:val="3"/>
        </w:numPr>
        <w:spacing w:after="50"/>
      </w:pPr>
      <w:r>
        <w:rPr>
          <w:rFonts w:ascii="Arial" w:cs="Arial" w:eastAsia="Arial" w:hAnsi="Arial"/>
          <w:sz w:val="21"/>
          <w:szCs w:val="21"/>
        </w:rPr>
        <w:t xml:space="preserve">Per-CU regulatory reporting: NCUA, NYDFS, and Maryland each require different compliance evidence. Can you produce per-entity views from one platform?</w:t>
      </w:r>
    </w:p>
    <w:p>
      <w:pPr>
        <w:spacing w:after="140"/>
      </w:pPr>
    </w:p>
    <w:p>
      <w:pPr>
        <w:pStyle w:val="Heading2"/>
      </w:pPr>
      <w:r>
        <w:t xml:space="preserve">7.2 AI Practice Talking Points</w:t>
      </w:r>
    </w:p>
    <w:p>
      <w:pPr>
        <w:pStyle w:val="ListParagraph"/>
        <w:numPr>
          <w:ilvl w:val="0"/>
          <w:numId w:val="3"/>
        </w:numPr>
        <w:spacing w:after="50"/>
      </w:pPr>
      <w:r>
        <w:rPr>
          <w:rFonts w:ascii="Arial" w:cs="Arial" w:eastAsia="Arial" w:hAnsi="Arial"/>
          <w:sz w:val="21"/>
          <w:szCs w:val="21"/>
        </w:rPr>
        <w:t xml:space="preserve">AI-powered anomaly detection: with 1.1M members across three CUs, behavioral baselines differ by entity. AI/ML models can detect anomalous account behavior per-CU.</w:t>
      </w:r>
    </w:p>
    <w:p>
      <w:pPr>
        <w:pStyle w:val="ListParagraph"/>
        <w:numPr>
          <w:ilvl w:val="0"/>
          <w:numId w:val="3"/>
        </w:numPr>
        <w:spacing w:after="50"/>
      </w:pPr>
      <w:r>
        <w:rPr>
          <w:rFonts w:ascii="Arial" w:cs="Arial" w:eastAsia="Arial" w:hAnsi="Arial"/>
          <w:sz w:val="21"/>
          <w:szCs w:val="21"/>
        </w:rPr>
        <w:t xml:space="preserve">SOAR integration: automated incident response playbooks for the top threat scenarios, reducing MTTR.</w:t>
      </w:r>
    </w:p>
    <w:p>
      <w:pPr>
        <w:pStyle w:val="ListParagraph"/>
        <w:numPr>
          <w:ilvl w:val="0"/>
          <w:numId w:val="3"/>
        </w:numPr>
        <w:spacing w:after="50"/>
      </w:pPr>
      <w:r>
        <w:rPr>
          <w:rFonts w:ascii="Arial" w:cs="Arial" w:eastAsia="Arial" w:hAnsi="Arial"/>
          <w:sz w:val="21"/>
          <w:szCs w:val="21"/>
        </w:rPr>
        <w:t xml:space="preserve">AI-assisted log correlation: natural language querying across disparate log sources to accelerate threat hunting.</w:t>
      </w:r>
    </w:p>
    <w:p>
      <w:pPr>
        <w:pStyle w:val="ListParagraph"/>
        <w:numPr>
          <w:ilvl w:val="0"/>
          <w:numId w:val="3"/>
        </w:numPr>
        <w:spacing w:after="50"/>
      </w:pPr>
      <w:r>
        <w:rPr>
          <w:rFonts w:ascii="Arial" w:cs="Arial" w:eastAsia="Arial" w:hAnsi="Arial"/>
          <w:sz w:val="21"/>
          <w:szCs w:val="21"/>
        </w:rPr>
        <w:t xml:space="preserve">The OpCon (SMA Technologies) automation platform is already in place — how does intelligent observability integrate with existing operational automation?</w:t>
      </w:r>
    </w:p>
    <w:p>
      <w:pPr>
        <w:spacing w:after="140"/>
      </w:pPr>
    </w:p>
    <w:p>
      <w:pPr>
        <w:pStyle w:val="Heading2"/>
      </w:pPr>
      <w:r>
        <w:t xml:space="preserve">7.3 Infrastructure Talking Points</w:t>
      </w:r>
    </w:p>
    <w:p>
      <w:pPr>
        <w:pStyle w:val="ListParagraph"/>
        <w:numPr>
          <w:ilvl w:val="0"/>
          <w:numId w:val="3"/>
        </w:numPr>
        <w:spacing w:after="50"/>
      </w:pPr>
      <w:r>
        <w:rPr>
          <w:rFonts w:ascii="Arial" w:cs="Arial" w:eastAsia="Arial" w:hAnsi="Arial"/>
          <w:sz w:val="21"/>
          <w:szCs w:val="21"/>
        </w:rPr>
        <w:t xml:space="preserve">Log architecture: where do logs land today? On-prem SIEM in the Flexential DC? Cloud SIEM? Hybrid?</w:t>
      </w:r>
    </w:p>
    <w:p>
      <w:pPr>
        <w:pStyle w:val="ListParagraph"/>
        <w:numPr>
          <w:ilvl w:val="0"/>
          <w:numId w:val="3"/>
        </w:numPr>
        <w:spacing w:after="50"/>
      </w:pPr>
      <w:r>
        <w:rPr>
          <w:rFonts w:ascii="Arial" w:cs="Arial" w:eastAsia="Arial" w:hAnsi="Arial"/>
          <w:sz w:val="21"/>
          <w:szCs w:val="21"/>
        </w:rPr>
        <w:t xml:space="preserve">Three cloud providers (AWS, Azure, GCP) each have their own logging (CloudTrail, Azure Monitor, GCP Logging) — are these centralized?</w:t>
      </w:r>
    </w:p>
    <w:p>
      <w:pPr>
        <w:pStyle w:val="ListParagraph"/>
        <w:numPr>
          <w:ilvl w:val="0"/>
          <w:numId w:val="3"/>
        </w:numPr>
        <w:spacing w:after="50"/>
      </w:pPr>
      <w:r>
        <w:rPr>
          <w:rFonts w:ascii="Arial" w:cs="Arial" w:eastAsia="Arial" w:hAnsi="Arial"/>
          <w:sz w:val="21"/>
          <w:szCs w:val="21"/>
        </w:rPr>
        <w:t xml:space="preserve">Network flow telemetry on the shared /24: is east-west traffic being logged? Can they detect lateral movement within the DC?</w:t>
      </w:r>
    </w:p>
    <w:p>
      <w:pPr>
        <w:spacing w:after="140"/>
      </w:pPr>
    </w:p>
    <w:p>
      <w:pPr>
        <w:pStyle w:val="Heading2"/>
      </w:pPr>
      <w:r>
        <w:t xml:space="preserve">7.4 Pellera Offerings to Position</w:t>
      </w:r>
    </w:p>
    <w:p>
      <w:pPr>
        <w:pStyle w:val="ListParagraph"/>
        <w:numPr>
          <w:ilvl w:val="0"/>
          <w:numId w:val="3"/>
        </w:numPr>
        <w:spacing w:after="50"/>
      </w:pPr>
      <w:r>
        <w:rPr>
          <w:rFonts w:ascii="Arial" w:cs="Arial" w:eastAsia="Arial" w:hAnsi="Arial"/>
          <w:sz w:val="21"/>
          <w:szCs w:val="21"/>
        </w:rPr>
        <w:t xml:space="preserve">Managed SOC / MDR: 24/7 monitoring with per-CU compliance reporting</w:t>
      </w:r>
    </w:p>
    <w:p>
      <w:pPr>
        <w:pStyle w:val="ListParagraph"/>
        <w:numPr>
          <w:ilvl w:val="0"/>
          <w:numId w:val="3"/>
        </w:numPr>
        <w:spacing w:after="50"/>
      </w:pPr>
      <w:r>
        <w:rPr>
          <w:rFonts w:ascii="Arial" w:cs="Arial" w:eastAsia="Arial" w:hAnsi="Arial"/>
          <w:sz w:val="21"/>
          <w:szCs w:val="21"/>
        </w:rPr>
        <w:t xml:space="preserve">SIEM/XDR architecture assessment and deployment</w:t>
      </w:r>
    </w:p>
    <w:p>
      <w:pPr>
        <w:pStyle w:val="ListParagraph"/>
        <w:numPr>
          <w:ilvl w:val="0"/>
          <w:numId w:val="3"/>
        </w:numPr>
        <w:spacing w:after="50"/>
      </w:pPr>
      <w:r>
        <w:rPr>
          <w:rFonts w:ascii="Arial" w:cs="Arial" w:eastAsia="Arial" w:hAnsi="Arial"/>
          <w:sz w:val="21"/>
          <w:szCs w:val="21"/>
        </w:rPr>
        <w:t xml:space="preserve">AI-powered observability integration (AIOps for the consortium)</w:t>
      </w:r>
    </w:p>
    <w:p>
      <w:r>
        <w:br w:type="page"/>
      </w:r>
    </w:p>
    <w:p>
      <w:pPr>
        <w:pStyle w:val="Heading1"/>
      </w:pPr>
      <w:r>
        <w:t xml:space="preserve">8. Session 4: Digital Workplace, Endpoint &amp; App Modernization (30 min)</w:t>
      </w:r>
    </w:p>
    <w:p>
      <w:pPr>
        <w:spacing w:after="100"/>
      </w:pPr>
      <w:r>
        <w:rPr>
          <w:rFonts w:ascii="Arial" w:cs="Arial" w:eastAsia="Arial" w:hAnsi="Arial"/>
          <w:b/>
          <w:bCs/>
          <w:sz w:val="21"/>
          <w:szCs w:val="21"/>
        </w:rPr>
        <w:t xml:space="preserve">Lead: </w:t>
      </w:r>
      <w:r>
        <w:rPr>
          <w:rFonts w:ascii="Arial" w:cs="Arial" w:eastAsia="Arial" w:hAnsi="Arial"/>
          <w:sz w:val="21"/>
          <w:szCs w:val="21"/>
        </w:rPr>
        <w:t xml:space="preserve">Digital Workplace + App Modernization + Cybersecurity</w:t>
      </w:r>
    </w:p>
    <w:p>
      <w:pPr>
        <w:spacing w:after="100"/>
      </w:pPr>
      <w:r>
        <w:rPr>
          <w:rFonts w:ascii="Arial" w:cs="Arial" w:eastAsia="Arial" w:hAnsi="Arial"/>
          <w:b/>
          <w:bCs/>
          <w:sz w:val="21"/>
          <w:szCs w:val="21"/>
        </w:rPr>
        <w:t xml:space="preserve">OTS Priority: </w:t>
      </w:r>
      <w:r>
        <w:rPr>
          <w:rFonts w:ascii="Arial" w:cs="Arial" w:eastAsia="Arial" w:hAnsi="Arial"/>
          <w:sz w:val="21"/>
          <w:szCs w:val="21"/>
        </w:rPr>
        <w:t xml:space="preserve">Endpoint Protection (+ forward-looking modernization)</w:t>
      </w:r>
    </w:p>
    <w:p>
      <w:pPr>
        <w:spacing w:after="140"/>
      </w:pPr>
    </w:p>
    <w:p>
      <w:pPr>
        <w:spacing w:after="100"/>
      </w:pPr>
      <w:r>
        <w:rPr>
          <w:rFonts w:ascii="Arial" w:cs="Arial" w:eastAsia="Arial" w:hAnsi="Arial"/>
          <w:sz w:val="21"/>
          <w:szCs w:val="21"/>
        </w:rPr>
        <w:t xml:space="preserve">This session broadens beyond the four stated priorities to show OTS the full value of Pellera’s multi-practice model. The OSINT revealed modernization opportunities that extend beyond cybersecurity.</w:t>
      </w:r>
    </w:p>
    <w:p>
      <w:pPr>
        <w:spacing w:after="140"/>
      </w:pPr>
    </w:p>
    <w:p>
      <w:pPr>
        <w:pStyle w:val="Heading2"/>
      </w:pPr>
      <w:r>
        <w:t xml:space="preserve">8.1 Digital Workplace Talking Points</w:t>
      </w:r>
    </w:p>
    <w:p>
      <w:pPr>
        <w:pStyle w:val="ListParagraph"/>
        <w:numPr>
          <w:ilvl w:val="0"/>
          <w:numId w:val="3"/>
        </w:numPr>
        <w:spacing w:after="50"/>
      </w:pPr>
      <w:r>
        <w:rPr>
          <w:rFonts w:ascii="Arial" w:cs="Arial" w:eastAsia="Arial" w:hAnsi="Arial"/>
          <w:sz w:val="21"/>
          <w:szCs w:val="21"/>
        </w:rPr>
        <w:t xml:space="preserve">Microsoft 365 confirmed across the consortium — are they leveraging the full M365 security stack (Defender for Endpoint, Defender for Cloud Apps, Purview)?</w:t>
      </w:r>
    </w:p>
    <w:p>
      <w:pPr>
        <w:pStyle w:val="ListParagraph"/>
        <w:numPr>
          <w:ilvl w:val="0"/>
          <w:numId w:val="3"/>
        </w:numPr>
        <w:spacing w:after="50"/>
      </w:pPr>
      <w:r>
        <w:rPr>
          <w:rFonts w:ascii="Arial" w:cs="Arial" w:eastAsia="Arial" w:hAnsi="Arial"/>
          <w:sz w:val="21"/>
          <w:szCs w:val="21"/>
        </w:rPr>
        <w:t xml:space="preserve">Jamf confirmed for Apple MDM — is there a unified endpoint management story across Apple and Windows, or are they managed separately?</w:t>
      </w:r>
    </w:p>
    <w:p>
      <w:pPr>
        <w:pStyle w:val="ListParagraph"/>
        <w:numPr>
          <w:ilvl w:val="0"/>
          <w:numId w:val="3"/>
        </w:numPr>
        <w:spacing w:after="50"/>
      </w:pPr>
      <w:r>
        <w:rPr>
          <w:rFonts w:ascii="Arial" w:cs="Arial" w:eastAsia="Arial" w:hAnsi="Arial"/>
          <w:sz w:val="21"/>
          <w:szCs w:val="21"/>
        </w:rPr>
        <w:t xml:space="preserve">Cisco UC (Expressway, Unity, Presence) confirmed on legacy Bethpage infrastructure — is this being migrated to Teams/modern UC? Is there a VoIP modernization path?</w:t>
      </w:r>
    </w:p>
    <w:p>
      <w:pPr>
        <w:pStyle w:val="ListParagraph"/>
        <w:numPr>
          <w:ilvl w:val="0"/>
          <w:numId w:val="3"/>
        </w:numPr>
        <w:spacing w:after="50"/>
      </w:pPr>
      <w:r>
        <w:rPr>
          <w:rFonts w:ascii="Arial" w:cs="Arial" w:eastAsia="Arial" w:hAnsi="Arial"/>
          <w:sz w:val="21"/>
          <w:szCs w:val="21"/>
        </w:rPr>
        <w:t xml:space="preserve">Bellco’s rapid branch expansion (6+ branches in 2 years): each new branch needs workstations, phones, network equipment, and a standard deploy image. How automated is the branch deployment process?</w:t>
      </w:r>
    </w:p>
    <w:p>
      <w:pPr>
        <w:pStyle w:val="ListParagraph"/>
        <w:numPr>
          <w:ilvl w:val="0"/>
          <w:numId w:val="3"/>
        </w:numPr>
        <w:spacing w:after="50"/>
      </w:pPr>
      <w:r>
        <w:rPr>
          <w:rFonts w:ascii="Arial" w:cs="Arial" w:eastAsia="Arial" w:hAnsi="Arial"/>
          <w:sz w:val="21"/>
          <w:szCs w:val="21"/>
        </w:rPr>
        <w:t xml:space="preserve">Citrix VDI on legacy domain — is VDI the long-term strategy for remote access, or is there a path to modern virtual desktop (AVD, W365)?</w:t>
      </w:r>
    </w:p>
    <w:p>
      <w:pPr>
        <w:spacing w:after="140"/>
      </w:pPr>
    </w:p>
    <w:p>
      <w:pPr>
        <w:pStyle w:val="Heading2"/>
      </w:pPr>
      <w:r>
        <w:t xml:space="preserve">8.2 App Modernization Talking Points</w:t>
      </w:r>
    </w:p>
    <w:p>
      <w:pPr>
        <w:pStyle w:val="ListParagraph"/>
        <w:numPr>
          <w:ilvl w:val="0"/>
          <w:numId w:val="3"/>
        </w:numPr>
        <w:spacing w:after="50"/>
      </w:pPr>
      <w:r>
        <w:rPr>
          <w:rFonts w:ascii="Arial" w:cs="Arial" w:eastAsia="Arial" w:hAnsi="Arial"/>
          <w:sz w:val="21"/>
          <w:szCs w:val="21"/>
        </w:rPr>
        <w:t xml:space="preserve">Fiserv DNA is the shared core banking platform — it’s an open-architecture system with API capabilities (DNAappstore, DNAcreator). How much custom development sits on top of it?</w:t>
      </w:r>
    </w:p>
    <w:p>
      <w:pPr>
        <w:pStyle w:val="ListParagraph"/>
        <w:numPr>
          <w:ilvl w:val="0"/>
          <w:numId w:val="3"/>
        </w:numPr>
        <w:spacing w:after="50"/>
      </w:pPr>
      <w:r>
        <w:rPr>
          <w:rFonts w:ascii="Arial" w:cs="Arial" w:eastAsia="Arial" w:hAnsi="Arial"/>
          <w:sz w:val="21"/>
          <w:szCs w:val="21"/>
        </w:rPr>
        <w:t xml:space="preserve">The Alkami ORB digital banking platform is SaaS — but the CuNexus cross-sell platform and Andera account opening are confirmed on legacy infrastructure (CT subdomains). Are these being sunset as MANTL comes online?</w:t>
      </w:r>
    </w:p>
    <w:p>
      <w:pPr>
        <w:pStyle w:val="ListParagraph"/>
        <w:numPr>
          <w:ilvl w:val="0"/>
          <w:numId w:val="3"/>
        </w:numPr>
        <w:spacing w:after="50"/>
      </w:pPr>
      <w:r>
        <w:rPr>
          <w:rFonts w:ascii="Arial" w:cs="Arial" w:eastAsia="Arial" w:hAnsi="Arial"/>
          <w:sz w:val="21"/>
          <w:szCs w:val="21"/>
        </w:rPr>
        <w:t xml:space="preserve">ASP.NET / IIS/10.0 confirmed via Shodan — custom web applications on legacy Microsoft stack. Is there a modernization roadmap for these workloads?</w:t>
      </w:r>
    </w:p>
    <w:p>
      <w:pPr>
        <w:pStyle w:val="ListParagraph"/>
        <w:numPr>
          <w:ilvl w:val="0"/>
          <w:numId w:val="3"/>
        </w:numPr>
        <w:spacing w:after="50"/>
      </w:pPr>
      <w:r>
        <w:rPr>
          <w:rFonts w:ascii="Arial" w:cs="Arial" w:eastAsia="Arial" w:hAnsi="Arial"/>
          <w:sz w:val="21"/>
          <w:szCs w:val="21"/>
        </w:rPr>
        <w:t xml:space="preserve">Nintex workflow automation and Matillion ETL confirmed — these suggest data pipeline and process automation investments. What’s the integration strategy with the Fiserv DNA core?</w:t>
      </w:r>
    </w:p>
    <w:p>
      <w:pPr>
        <w:pStyle w:val="ListParagraph"/>
        <w:numPr>
          <w:ilvl w:val="0"/>
          <w:numId w:val="3"/>
        </w:numPr>
        <w:spacing w:after="50"/>
      </w:pPr>
      <w:r>
        <w:rPr>
          <w:rFonts w:ascii="Arial" w:cs="Arial" w:eastAsia="Arial" w:hAnsi="Arial"/>
          <w:sz w:val="21"/>
          <w:szCs w:val="21"/>
        </w:rPr>
        <w:t xml:space="preserve">The bethpagefcu.com-to-fourleaffcu.com domain migration is fundamentally an application migration project. SPF, certificates, ADFS federation trusts, online banking endpoints, and API integrations all need to be re-pointed. How mature is the migration runbook?</w:t>
      </w:r>
    </w:p>
    <w:p>
      <w:pPr>
        <w:spacing w:after="140"/>
      </w:pPr>
    </w:p>
    <w:p>
      <w:pPr>
        <w:pStyle w:val="Heading2"/>
      </w:pPr>
      <w:r>
        <w:t xml:space="preserve">8.3 Cybersecurity (Endpoint) Talking Points</w:t>
      </w:r>
    </w:p>
    <w:p>
      <w:pPr>
        <w:pStyle w:val="ListParagraph"/>
        <w:numPr>
          <w:ilvl w:val="0"/>
          <w:numId w:val="3"/>
        </w:numPr>
        <w:spacing w:after="50"/>
      </w:pPr>
      <w:r>
        <w:rPr>
          <w:rFonts w:ascii="Arial" w:cs="Arial" w:eastAsia="Arial" w:hAnsi="Arial"/>
          <w:sz w:val="21"/>
          <w:szCs w:val="21"/>
        </w:rPr>
        <w:t xml:space="preserve">Is EPP/EDR standardized across the consortium, or does each CU run their own? Mixed EDR = mixed visibility.</w:t>
      </w:r>
    </w:p>
    <w:p>
      <w:pPr>
        <w:pStyle w:val="ListParagraph"/>
        <w:numPr>
          <w:ilvl w:val="0"/>
          <w:numId w:val="3"/>
        </w:numPr>
        <w:spacing w:after="50"/>
      </w:pPr>
      <w:r>
        <w:rPr>
          <w:rFonts w:ascii="Arial" w:cs="Arial" w:eastAsia="Arial" w:hAnsi="Arial"/>
          <w:sz w:val="21"/>
          <w:szCs w:val="21"/>
        </w:rPr>
        <w:t xml:space="preserve">With GlobalProtect, Cisco ASA, and Citrix all providing remote access, how do you enforce consistent endpoint posture checks before granting access?</w:t>
      </w:r>
    </w:p>
    <w:p>
      <w:pPr>
        <w:pStyle w:val="ListParagraph"/>
        <w:numPr>
          <w:ilvl w:val="0"/>
          <w:numId w:val="3"/>
        </w:numPr>
        <w:spacing w:after="50"/>
      </w:pPr>
      <w:r>
        <w:rPr>
          <w:rFonts w:ascii="Arial" w:cs="Arial" w:eastAsia="Arial" w:hAnsi="Arial"/>
          <w:sz w:val="21"/>
          <w:szCs w:val="21"/>
        </w:rPr>
        <w:t xml:space="preserve">KnowBe4 confirmed at FourLeaf — is security awareness training deployed consortium-wide, or just one CU?</w:t>
      </w:r>
    </w:p>
    <w:p>
      <w:pPr>
        <w:spacing w:after="140"/>
      </w:pPr>
    </w:p>
    <w:p>
      <w:pPr>
        <w:pStyle w:val="Heading2"/>
      </w:pPr>
      <w:r>
        <w:t xml:space="preserve">8.4 Pellera Offerings to Position</w:t>
      </w:r>
    </w:p>
    <w:p>
      <w:pPr>
        <w:pStyle w:val="ListParagraph"/>
        <w:numPr>
          <w:ilvl w:val="0"/>
          <w:numId w:val="3"/>
        </w:numPr>
        <w:spacing w:after="50"/>
      </w:pPr>
      <w:r>
        <w:rPr>
          <w:rFonts w:ascii="Arial" w:cs="Arial" w:eastAsia="Arial" w:hAnsi="Arial"/>
          <w:sz w:val="21"/>
          <w:szCs w:val="21"/>
        </w:rPr>
        <w:t xml:space="preserve">Digital Workplace assessment: M365 security optimization, unified endpoint management, UC modernization</w:t>
      </w:r>
    </w:p>
    <w:p>
      <w:pPr>
        <w:pStyle w:val="ListParagraph"/>
        <w:numPr>
          <w:ilvl w:val="0"/>
          <w:numId w:val="3"/>
        </w:numPr>
        <w:spacing w:after="50"/>
      </w:pPr>
      <w:r>
        <w:rPr>
          <w:rFonts w:ascii="Arial" w:cs="Arial" w:eastAsia="Arial" w:hAnsi="Arial"/>
          <w:sz w:val="21"/>
          <w:szCs w:val="21"/>
        </w:rPr>
        <w:t xml:space="preserve">Application modernization roadmap: legacy workload assessment, cloud migration planning, API strategy</w:t>
      </w:r>
    </w:p>
    <w:p>
      <w:pPr>
        <w:pStyle w:val="ListParagraph"/>
        <w:numPr>
          <w:ilvl w:val="0"/>
          <w:numId w:val="3"/>
        </w:numPr>
        <w:spacing w:after="50"/>
      </w:pPr>
      <w:r>
        <w:rPr>
          <w:rFonts w:ascii="Arial" w:cs="Arial" w:eastAsia="Arial" w:hAnsi="Arial"/>
          <w:sz w:val="21"/>
          <w:szCs w:val="21"/>
        </w:rPr>
        <w:t xml:space="preserve">Endpoint protection assessment: coverage audit across all entities, branches, and VDI</w:t>
      </w:r>
    </w:p>
    <w:p>
      <w:r>
        <w:br w:type="page"/>
      </w:r>
    </w:p>
    <w:p>
      <w:pPr>
        <w:pStyle w:val="Heading1"/>
      </w:pPr>
      <w:r>
        <w:t xml:space="preserve">9. Closing: Strategic Roadmap &amp; Next Steps (15 min)</w:t>
      </w:r>
    </w:p>
    <w:p>
      <w:pPr>
        <w:spacing w:after="100"/>
      </w:pPr>
      <w:r>
        <w:rPr>
          <w:rFonts w:ascii="Arial" w:cs="Arial" w:eastAsia="Arial" w:hAnsi="Arial"/>
          <w:b/>
          <w:bCs/>
          <w:sz w:val="21"/>
          <w:szCs w:val="21"/>
        </w:rPr>
        <w:t xml:space="preserve">Lead: </w:t>
      </w:r>
      <w:r>
        <w:rPr>
          <w:rFonts w:ascii="Arial" w:cs="Arial" w:eastAsia="Arial" w:hAnsi="Arial"/>
          <w:sz w:val="21"/>
          <w:szCs w:val="21"/>
        </w:rPr>
        <w:t xml:space="preserve">Field CTO + Sales Leadership</w:t>
      </w:r>
    </w:p>
    <w:p>
      <w:pPr>
        <w:spacing w:after="140"/>
      </w:pPr>
    </w:p>
    <w:p>
      <w:pPr>
        <w:pStyle w:val="Heading2"/>
      </w:pPr>
      <w:r>
        <w:t xml:space="preserve">9.1 Strategic Vision Preview</w:t>
      </w:r>
    </w:p>
    <w:p>
      <w:pPr>
        <w:spacing w:after="100"/>
      </w:pPr>
      <w:r>
        <w:rPr>
          <w:rFonts w:ascii="Arial" w:cs="Arial" w:eastAsia="Arial" w:hAnsi="Arial"/>
          <w:sz w:val="21"/>
          <w:szCs w:val="21"/>
        </w:rPr>
        <w:t xml:space="preserve">The OSINT report includes a 12-month + 3-year strategic security roadmap. Preview the key themes without going deep (they’ve already read it):</w:t>
      </w:r>
    </w:p>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880"/>
      </w:tblGrid>
      <w:tr>
        <w:tc>
          <w:tcPr>
            <w:tcW w:type="dxa" w:w="16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30"/>
            </w:pPr>
            <w:r>
              <w:rPr>
                <w:rFonts w:ascii="Arial" w:cs="Arial" w:eastAsia="Arial" w:hAnsi="Arial"/>
                <w:b/>
                <w:bCs/>
                <w:color w:val="FFFFFF"/>
                <w:sz w:val="18"/>
                <w:szCs w:val="18"/>
              </w:rPr>
              <w:t xml:space="preserve">Timeframe</w:t>
            </w:r>
          </w:p>
        </w:tc>
        <w:tc>
          <w:tcPr>
            <w:tcW w:type="dxa" w:w="26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30"/>
            </w:pPr>
            <w:r>
              <w:rPr>
                <w:rFonts w:ascii="Arial" w:cs="Arial" w:eastAsia="Arial" w:hAnsi="Arial"/>
                <w:b/>
                <w:bCs/>
                <w:color w:val="FFFFFF"/>
                <w:sz w:val="18"/>
                <w:szCs w:val="18"/>
              </w:rPr>
              <w:t xml:space="preserve">Theme</w:t>
            </w:r>
          </w:p>
        </w:tc>
        <w:tc>
          <w:tcPr>
            <w:tcW w:type="dxa" w:w="588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30"/>
            </w:pPr>
            <w:r>
              <w:rPr>
                <w:rFonts w:ascii="Arial" w:cs="Arial" w:eastAsia="Arial" w:hAnsi="Arial"/>
                <w:b/>
                <w:bCs/>
                <w:color w:val="FFFFFF"/>
                <w:sz w:val="18"/>
                <w:szCs w:val="18"/>
              </w:rPr>
              <w:t xml:space="preserve">Key Initiatives</w:t>
            </w:r>
          </w:p>
        </w:tc>
      </w:tr>
      <w:tr>
        <w:tc>
          <w:tcPr>
            <w:tcW w:type="dxa" w:w="1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0–6 months</w:t>
            </w:r>
          </w:p>
        </w:tc>
        <w:tc>
          <w:tcPr>
            <w:tcW w:type="dxa" w:w="2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Remediate &amp; Harden</w:t>
            </w:r>
          </w:p>
        </w:tc>
        <w:tc>
          <w:tcPr>
            <w:tcW w:type="dxa" w:w="58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DMARC enforcement, legacy domain cleanup, network segmentation, SPF flattening</w:t>
            </w:r>
          </w:p>
        </w:tc>
      </w:tr>
      <w:tr>
        <w:tc>
          <w:tcPr>
            <w:tcW w:type="dxa" w:w="1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6–12 months</w:t>
            </w:r>
          </w:p>
        </w:tc>
        <w:tc>
          <w:tcPr>
            <w:tcW w:type="dxa" w:w="2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Modernize &amp; Monitor</w:t>
            </w:r>
          </w:p>
        </w:tc>
        <w:tc>
          <w:tcPr>
            <w:tcW w:type="dxa" w:w="58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Zero Trust architecture, unified SOC/MDR, TPRM program, IR readiness</w:t>
            </w:r>
          </w:p>
        </w:tc>
      </w:tr>
      <w:tr>
        <w:tc>
          <w:tcPr>
            <w:tcW w:type="dxa" w:w="1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1–3 years</w:t>
            </w:r>
          </w:p>
        </w:tc>
        <w:tc>
          <w:tcPr>
            <w:tcW w:type="dxa" w:w="2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Transform &amp; Lead</w:t>
            </w:r>
          </w:p>
        </w:tc>
        <w:tc>
          <w:tcPr>
            <w:tcW w:type="dxa" w:w="58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Cloud-first migration, AI-powered detection, continuous compliance, security culture</w:t>
            </w:r>
          </w:p>
        </w:tc>
      </w:tr>
    </w:tbl>
    <w:p>
      <w:pPr>
        <w:spacing w:after="140"/>
      </w:pPr>
    </w:p>
    <w:p>
      <w:pPr>
        <w:pStyle w:val="Heading2"/>
      </w:pPr>
      <w:r>
        <w:t xml:space="preserve">9.2 Next Steps to Drive Toward</w:t>
      </w:r>
    </w:p>
    <w:p>
      <w:pPr>
        <w:spacing w:after="100"/>
      </w:pPr>
      <w:r>
        <w:rPr>
          <w:rFonts w:ascii="Arial" w:cs="Arial" w:eastAsia="Arial" w:hAnsi="Arial"/>
          <w:sz w:val="21"/>
          <w:szCs w:val="21"/>
        </w:rPr>
        <w:t xml:space="preserve">At least one of these should have a date attached before the room clears:</w:t>
      </w:r>
    </w:p>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880"/>
      </w:tblGrid>
      <w:tr>
        <w:tc>
          <w:tcPr>
            <w:tcW w:type="dxa" w:w="28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30"/>
            </w:pPr>
            <w:r>
              <w:rPr>
                <w:rFonts w:ascii="Arial" w:cs="Arial" w:eastAsia="Arial" w:hAnsi="Arial"/>
                <w:b/>
                <w:bCs/>
                <w:color w:val="FFFFFF"/>
                <w:sz w:val="18"/>
                <w:szCs w:val="18"/>
              </w:rPr>
              <w:t xml:space="preserve">Next Step</w:t>
            </w:r>
          </w:p>
        </w:tc>
        <w:tc>
          <w:tcPr>
            <w:tcW w:type="dxa" w:w="44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30"/>
            </w:pPr>
            <w:r>
              <w:rPr>
                <w:rFonts w:ascii="Arial" w:cs="Arial" w:eastAsia="Arial" w:hAnsi="Arial"/>
                <w:b/>
                <w:bCs/>
                <w:color w:val="FFFFFF"/>
                <w:sz w:val="18"/>
                <w:szCs w:val="18"/>
              </w:rPr>
              <w:t xml:space="preserve">Scope</w:t>
            </w:r>
          </w:p>
        </w:tc>
        <w:tc>
          <w:tcPr>
            <w:tcW w:type="dxa" w:w="288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30"/>
            </w:pPr>
            <w:r>
              <w:rPr>
                <w:rFonts w:ascii="Arial" w:cs="Arial" w:eastAsia="Arial" w:hAnsi="Arial"/>
                <w:b/>
                <w:bCs/>
                <w:color w:val="FFFFFF"/>
                <w:sz w:val="18"/>
                <w:szCs w:val="18"/>
              </w:rPr>
              <w:t xml:space="preserve">Practice Lead(s)</w:t>
            </w:r>
          </w:p>
        </w:tc>
      </w:tr>
      <w:tr>
        <w:tc>
          <w:tcPr>
            <w:tcW w:type="dxa" w:w="2800"/>
            <w:gridSpan w:val="1"/>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Penetration Test / Attack Surface Assessment</w:t>
            </w:r>
          </w:p>
        </w:tc>
        <w:tc>
          <w:tcPr>
            <w:tcW w:type="dxa" w:w="4400"/>
            <w:gridSpan w:val="1"/>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Targeted test focused on legacy domain exploitation, rebrand phishing vectors, SPF bypass</w:t>
            </w:r>
          </w:p>
        </w:tc>
        <w:tc>
          <w:tcPr>
            <w:tcW w:type="dxa" w:w="2880"/>
            <w:gridSpan w:val="1"/>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Cybersecurity</w:t>
            </w:r>
          </w:p>
        </w:tc>
      </w:tr>
      <w:tr>
        <w:tc>
          <w:tcPr>
            <w:tcW w:type="dxa" w:w="2800"/>
            <w:gridSpan w:val="1"/>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BCDR Tabletop Exercise</w:t>
            </w:r>
          </w:p>
        </w:tc>
        <w:tc>
          <w:tcPr>
            <w:tcW w:type="dxa" w:w="4400"/>
            <w:gridSpan w:val="1"/>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Simulate ransomware on the shared /24 — test recovery sequencing across three CUs</w:t>
            </w:r>
          </w:p>
        </w:tc>
        <w:tc>
          <w:tcPr>
            <w:tcW w:type="dxa" w:w="2880"/>
            <w:gridSpan w:val="1"/>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Cybersecurity + Infrastructure</w:t>
            </w:r>
          </w:p>
        </w:tc>
      </w:tr>
      <w:tr>
        <w:tc>
          <w:tcPr>
            <w:tcW w:type="dxa" w:w="2800"/>
            <w:gridSpan w:val="1"/>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PAM Assessment</w:t>
            </w:r>
          </w:p>
        </w:tc>
        <w:tc>
          <w:tcPr>
            <w:tcW w:type="dxa" w:w="4400"/>
            <w:gridSpan w:val="1"/>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Map privileged accounts, MFA enforcement, ADFS isolation, NYDFS compliance</w:t>
            </w:r>
          </w:p>
        </w:tc>
        <w:tc>
          <w:tcPr>
            <w:tcW w:type="dxa" w:w="2880"/>
            <w:gridSpan w:val="1"/>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Cybersecurity + Infrastructure</w:t>
            </w:r>
          </w:p>
        </w:tc>
      </w:tr>
      <w:tr>
        <w:tc>
          <w:tcPr>
            <w:tcW w:type="dxa" w:w="2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Logging Architecture Assessment</w:t>
            </w:r>
          </w:p>
        </w:tc>
        <w:tc>
          <w:tcPr>
            <w:tcW w:type="dxa" w:w="4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Map current log sources against confirmed infrastructure, identify gaps</w:t>
            </w:r>
          </w:p>
        </w:tc>
        <w:tc>
          <w:tcPr>
            <w:tcW w:type="dxa" w:w="28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Cybersecurity + AI</w:t>
            </w:r>
          </w:p>
        </w:tc>
      </w:tr>
      <w:tr>
        <w:tc>
          <w:tcPr>
            <w:tcW w:type="dxa" w:w="2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M365 Security Optimization</w:t>
            </w:r>
          </w:p>
        </w:tc>
        <w:tc>
          <w:tcPr>
            <w:tcW w:type="dxa" w:w="4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Assess current Defender/Purview usage against licensing, close gaps</w:t>
            </w:r>
          </w:p>
        </w:tc>
        <w:tc>
          <w:tcPr>
            <w:tcW w:type="dxa" w:w="28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Digital Workplace</w:t>
            </w:r>
          </w:p>
        </w:tc>
      </w:tr>
      <w:tr>
        <w:tc>
          <w:tcPr>
            <w:tcW w:type="dxa" w:w="2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Strategic Advisory Engagement</w:t>
            </w:r>
          </w:p>
        </w:tc>
        <w:tc>
          <w:tcPr>
            <w:tcW w:type="dxa" w:w="4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vCISO + Field CTO: build the 12-month roadmap together</w:t>
            </w:r>
          </w:p>
        </w:tc>
        <w:tc>
          <w:tcPr>
            <w:tcW w:type="dxa" w:w="28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Field CTO + Cybersecurity</w:t>
            </w:r>
          </w:p>
        </w:tc>
      </w:tr>
    </w:tbl>
    <w:p>
      <w:pPr>
        <w:spacing w:after="140"/>
      </w:pPr>
    </w:p>
    <w:p>
      <w:pPr>
        <w:pStyle w:val="Heading2"/>
      </w:pPr>
      <w:r>
        <w:t xml:space="preserve">9.3 The Ultimate Close</w:t>
      </w:r>
    </w:p>
    <w:p>
      <w:pPr>
        <w:spacing w:after="100"/>
      </w:pPr>
      <w:r>
        <w:rPr>
          <w:rFonts w:ascii="Arial" w:cs="Arial" w:eastAsia="Arial" w:hAnsi="Arial"/>
          <w:b/>
          <w:bCs/>
          <w:i/>
          <w:iCs/>
          <w:color w:val="1B3A5C"/>
          <w:sz w:val="21"/>
          <w:szCs w:val="21"/>
        </w:rPr>
        <w:t xml:space="preserve">"We built this view of your architecture from the outside in 3 hours using only public data. Your team builds the view from the inside out. Together, they’d give you the most complete picture possible. Let us help you build it."</w:t>
      </w:r>
    </w:p>
    <w:p>
      <w:r>
        <w:br w:type="page"/>
      </w:r>
    </w:p>
    <w:p>
      <w:pPr>
        <w:pStyle w:val="Heading1"/>
      </w:pPr>
      <w:r>
        <w:t xml:space="preserve">10. Reference Materials &amp; Attachments</w:t>
      </w:r>
    </w:p>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3880"/>
      </w:tblGrid>
      <w:tr>
        <w:tc>
          <w:tcPr>
            <w:tcW w:type="dxa" w:w="34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30"/>
            </w:pPr>
            <w:r>
              <w:rPr>
                <w:rFonts w:ascii="Arial" w:cs="Arial" w:eastAsia="Arial" w:hAnsi="Arial"/>
                <w:b/>
                <w:bCs/>
                <w:color w:val="FFFFFF"/>
                <w:sz w:val="18"/>
                <w:szCs w:val="18"/>
              </w:rPr>
              <w:t xml:space="preserve">Document</w:t>
            </w:r>
          </w:p>
        </w:tc>
        <w:tc>
          <w:tcPr>
            <w:tcW w:type="dxa" w:w="28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30"/>
            </w:pPr>
            <w:r>
              <w:rPr>
                <w:rFonts w:ascii="Arial" w:cs="Arial" w:eastAsia="Arial" w:hAnsi="Arial"/>
                <w:b/>
                <w:bCs/>
                <w:color w:val="FFFFFF"/>
                <w:sz w:val="18"/>
                <w:szCs w:val="18"/>
              </w:rPr>
              <w:t xml:space="preserve">Status</w:t>
            </w:r>
          </w:p>
        </w:tc>
        <w:tc>
          <w:tcPr>
            <w:tcW w:type="dxa" w:w="388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30"/>
            </w:pPr>
            <w:r>
              <w:rPr>
                <w:rFonts w:ascii="Arial" w:cs="Arial" w:eastAsia="Arial" w:hAnsi="Arial"/>
                <w:b/>
                <w:bCs/>
                <w:color w:val="FFFFFF"/>
                <w:sz w:val="18"/>
                <w:szCs w:val="18"/>
              </w:rPr>
              <w:t xml:space="preserve">Purpose</w:t>
            </w:r>
          </w:p>
        </w:tc>
      </w:tr>
      <w:tr>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OSINT Threat Assessment Report (v2)</w:t>
            </w:r>
          </w:p>
        </w:tc>
        <w:tc>
          <w:tcPr>
            <w:tcW w:type="dxa" w:w="2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Pre-delivered to OTS</w:t>
            </w:r>
          </w:p>
        </w:tc>
        <w:tc>
          <w:tcPr>
            <w:tcW w:type="dxa" w:w="38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The consultative gift. Establishes credibility before the EBC.</w:t>
            </w:r>
          </w:p>
        </w:tc>
      </w:tr>
      <w:tr>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Key Stakeholder Intelligence Brief</w:t>
            </w:r>
          </w:p>
        </w:tc>
        <w:tc>
          <w:tcPr>
            <w:tcW w:type="dxa" w:w="2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Internal only — do NOT share</w:t>
            </w:r>
          </w:p>
        </w:tc>
        <w:tc>
          <w:tcPr>
            <w:tcW w:type="dxa" w:w="38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Background on OTS’s Chief Architect and how to engage him.</w:t>
            </w:r>
          </w:p>
        </w:tc>
      </w:tr>
      <w:tr>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DNSDumpster Infrastructure Maps (6)</w:t>
            </w:r>
          </w:p>
        </w:tc>
        <w:tc>
          <w:tcPr>
            <w:tcW w:type="dxa" w:w="2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Embedded in OSINT report; bring printed copies to EBC</w:t>
            </w:r>
          </w:p>
        </w:tc>
        <w:tc>
          <w:tcPr>
            <w:tcW w:type="dxa" w:w="38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Visual anchors for the opening presentation.</w:t>
            </w:r>
          </w:p>
        </w:tc>
      </w:tr>
      <w:tr>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Shodan Results Screenshot</w:t>
            </w:r>
          </w:p>
        </w:tc>
        <w:tc>
          <w:tcPr>
            <w:tcW w:type="dxa" w:w="2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Embedded in OSINT report</w:t>
            </w:r>
          </w:p>
        </w:tc>
        <w:tc>
          <w:tcPr>
            <w:tcW w:type="dxa" w:w="38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Shows 14 legacy services still exposed.</w:t>
            </w:r>
          </w:p>
        </w:tc>
      </w:tr>
      <w:tr>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This EBC Outline</w:t>
            </w:r>
          </w:p>
        </w:tc>
        <w:tc>
          <w:tcPr>
            <w:tcW w:type="dxa" w:w="2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Internal only</w:t>
            </w:r>
          </w:p>
        </w:tc>
        <w:tc>
          <w:tcPr>
            <w:tcW w:type="dxa" w:w="38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Team preparation document.</w:t>
            </w:r>
          </w:p>
        </w:tc>
      </w:tr>
      <w:tr>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OSINT Playbook</w:t>
            </w:r>
          </w:p>
        </w:tc>
        <w:tc>
          <w:tcPr>
            <w:tcW w:type="dxa" w:w="2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Internal only</w:t>
            </w:r>
          </w:p>
        </w:tc>
        <w:tc>
          <w:tcPr>
            <w:tcW w:type="dxa" w:w="38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How the OSINT assessment was produced (for team replication).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tabs>
        <w:tab w:val="right" w:pos="10080"/>
      </w:tabs>
    </w:pPr>
    <w:r>
      <w:rPr>
        <w:rFonts w:ascii="Arial" w:cs="Arial" w:eastAsia="Arial" w:hAnsi="Arial"/>
        <w:color w:val="BBBBBB"/>
        <w:sz w:val="13"/>
        <w:szCs w:val="13"/>
      </w:rPr>
      <w:t xml:space="preserve">Pellera Technologies — EBC Preparation</w:t>
    </w:r>
    <w:r>
      <w:rPr>
        <w:sz w:val="13"/>
        <w:szCs w:val="13"/>
      </w:rPr>
      <w:t xml:space="preserve">	</w:t>
    </w:r>
    <w:r>
      <w:rPr>
        <w:rFonts w:ascii="Arial" w:cs="Arial" w:eastAsia="Arial" w:hAnsi="Arial"/>
        <w:color w:val="BBBBBB"/>
        <w:sz w:val="13"/>
        <w:szCs w:val="13"/>
      </w:rPr>
      <w:t xml:space="preserve">Page </w:t>
    </w:r>
    <w:r>
      <w:rPr>
        <w:rFonts w:ascii="Arial" w:cs="Arial" w:eastAsia="Arial" w:hAnsi="Arial"/>
        <w:color w:val="BBBBBB"/>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spacing w:after="100"/>
    </w:pPr>
    <w:r>
      <w:rPr>
        <w:rFonts w:ascii="Arial" w:cs="Arial" w:eastAsia="Arial" w:hAnsi="Arial"/>
        <w:b/>
        <w:bCs/>
        <w:color w:val="CC0000"/>
        <w:sz w:val="14"/>
        <w:szCs w:val="14"/>
      </w:rPr>
      <w:t xml:space="preserve">CONFIDENTIAL — Pellera Internal</w:t>
    </w:r>
    <w:r>
      <w:rPr>
        <w:rFonts w:ascii="Arial" w:cs="Arial" w:eastAsia="Arial" w:hAnsi="Arial"/>
        <w:color w:val="999999"/>
        <w:sz w:val="14"/>
        <w:szCs w:val="14"/>
      </w:rPr>
      <w:t xml:space="preserve">	OTS Consortium EBC Outline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3A5C" w:sz="3" w:space="4"/>
      </w:pBdr>
      <w:spacing w:after="160" w:before="300"/>
      <w:outlineLvl w:val="0"/>
    </w:pPr>
    <w:rPr>
      <w:rFonts w:ascii="Arial" w:cs="Arial" w:eastAsia="Arial" w:hAnsi="Arial"/>
      <w:b/>
      <w:bCs/>
      <w:color w:val="1B3A5C"/>
      <w:sz w:val="34"/>
      <w:szCs w:val="34"/>
    </w:rPr>
  </w:style>
  <w:style w:type="paragraph" w:styleId="Heading2">
    <w:name w:val="Heading 2"/>
    <w:basedOn w:val="Normal"/>
    <w:next w:val="Normal"/>
    <w:qFormat/>
    <w:pPr>
      <w:spacing w:after="120" w:before="200"/>
      <w:outlineLvl w:val="1"/>
    </w:pPr>
    <w:rPr>
      <w:rFonts w:ascii="Arial" w:cs="Arial" w:eastAsia="Arial" w:hAnsi="Arial"/>
      <w:b/>
      <w:bCs/>
      <w:color w:val="333333"/>
      <w:sz w:val="26"/>
      <w:szCs w:val="26"/>
    </w:rPr>
  </w:style>
  <w:style w:type="paragraph" w:styleId="Heading3">
    <w:name w:val="Heading 3"/>
    <w:basedOn w:val="Normal"/>
    <w:next w:val="Normal"/>
    <w:qFormat/>
    <w:pPr>
      <w:spacing w:after="80" w:before="16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2026-04-01T21:21:46.207Z</dcterms:created>
  <dcterms:modified xsi:type="dcterms:W3CDTF">2026-04-01T21:21:46.208Z</dcterms:modified>
</cp:coreProperties>
</file>

<file path=docProps/custom.xml><?xml version="1.0" encoding="utf-8"?>
<Properties xmlns="http://schemas.openxmlformats.org/officeDocument/2006/custom-properties" xmlns:vt="http://schemas.openxmlformats.org/officeDocument/2006/docPropsVTypes"/>
</file>