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Bail d'habitation — 12 rue des Lilas</w:t>
      </w:r>
    </w:p>
    <w:p>
      <w:pPr>
        <w:pStyle w:val="Heading2"/>
      </w:pPr>
      <w:r>
        <w:t xml:space="preserve">Loyer et charges</w:t>
      </w:r>
    </w:p>
    <w:p>
      <w:r>
        <w:t xml:space="preserve">Le loyer mensuel s'élève à 950 euros hors charges, auxquels s'ajoute une provision de 110 euros pour les charges récupérables. Le règlement intervient le 5 de chaque mois par virement.</w:t>
      </w:r>
    </w:p>
    <w:p>
      <w:pPr>
        <w:pStyle w:val="Heading2"/>
      </w:pPr>
      <w:r>
        <w:t xml:space="preserve">Résiliation par le locataire</w:t>
      </w:r>
    </w:p>
    <w:p>
      <w:r>
        <w:t xml:space="preserve">Le locataire peut donner congé à tout moment. Le délai de préavis est de trois mois, ramené à un mois lorsque le logement se situe en zone tendue.</w:t>
      </w:r>
    </w:p>
    <w:p>
      <w:r>
        <w:rPr>
          <w:b/>
          <w:bCs/>
        </w:rPr>
        <w:t xml:space="preserve">Important : </w:t>
      </w:r>
      <w:r>
        <w:t xml:space="preserve">le congé est notifié par lettre recommandée avec accusé de réception.</w:t>
      </w:r>
    </w:p>
    <w:p>
      <w:pPr>
        <w:pStyle w:val="Heading2"/>
      </w:pPr>
      <w:r>
        <w:t xml:space="preserve">Échéancier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Poste</w:t>
            </w:r>
          </w:p>
        </w:tc>
        <w:tc>
          <w:p>
            <w:r>
              <w:t xml:space="preserve">Montant</w:t>
            </w:r>
          </w:p>
        </w:tc>
      </w:tr>
      <w:tr>
        <w:tc>
          <w:p>
            <w:r>
              <w:t xml:space="preserve">Loyer</w:t>
            </w:r>
          </w:p>
        </w:tc>
        <w:tc>
          <w:p>
            <w:r>
              <w:t xml:space="preserve">950 €</w:t>
            </w:r>
          </w:p>
        </w:tc>
      </w:tr>
      <w:tr>
        <w:tc>
          <w:p>
            <w:r>
              <w:t xml:space="preserve">Charges</w:t>
            </w:r>
          </w:p>
        </w:tc>
        <w:tc>
          <w:p>
            <w:r>
              <w:t xml:space="preserve">110 €</w:t>
            </w:r>
          </w:p>
        </w:tc>
      </w:tr>
    </w:tbl>
    <w:p>
      <w:pPr>
        <w:pStyle w:val="Heading3"/>
      </w:pPr>
      <w:r>
        <w:t xml:space="preserve">Liste</w:t>
      </w:r>
    </w:p>
    <w:p>
      <w:pPr>
        <w:pStyle w:val="ListParagraph"/>
        <w:numPr>
          <w:ilvl w:val="0"/>
          <w:numId w:val="1"/>
        </w:numPr>
      </w:pPr>
      <w:r>
        <w:t xml:space="preserve">Premier point</w:t>
      </w:r>
    </w:p>
    <w:p>
      <w:pPr>
        <w:pStyle w:val="ListParagraph"/>
        <w:numPr>
          <w:ilvl w:val="0"/>
          <w:numId w:val="1"/>
        </w:numPr>
      </w:pPr>
      <w:r>
        <w:t xml:space="preserve">Deuxième point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2026-09-08T17:46:39.553Z</dcterms:created>
  <dcterms:modified xsi:type="dcterms:W3CDTF">2026-09-08T17:46:39.553Z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