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Research Assignment: Strain #773b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General Observations: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appears to communicate via emitting telepathic frequencies, possibly able to travel vast distances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termed communication channels spinnerets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transmitters or a web of neurological strands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infected hosts appear to seek knowledge and understanding of the world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infected hosts appear to act in hostility, likely to eliminate potential threats in its environment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self-contained tests against the substance showed resistance to burning effects and instrumental prodding or slashing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self-contained tests also showed substance's immunity to acid; growth best stimulated in cold environments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Stage 1. Growth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Parasite develops as a microscopic, infective agent capable of replication within living cells of an organism.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The resulting "biological agent" appears to be sentient colony of cells, a highly fluid entity birthed from black protoplasm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Digests organic material consumed by the host relentlessly, maintains starving state; begins feeding off the host's fatty acids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Development cycle estimated to take up to 72 hours when saturated in cool temperatures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Stage 2. Possession and Imitation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Overtakes host's neurological synapses beginning at the spine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Specimen's amniotic sac produces numbing effect by diffusing through circulatory and integumentary systems of host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Host's epithelial, connective and muscle tissues become limp and volatile, altering shape with the rapidity of water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Host's skeletal system re-solidifies; formless, adaptable, and regenerative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Host becomes animate at this point, appears to be learning basic movements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Specimen begins mimicking behavior of nearby lifeforms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Stage 3. Seeding, Divergence and Reproduction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Extends retractable pseudopods, bulges of cytoplasm coordinated by collaborative action of microfilaments pushing through the plasma membrane that surrounds the organism, creates whip-like tendrils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Appears to be composed of consumptive enzymes, functionally boiling acidic substance which tears through flesh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Speculated to be amorphous and amphibious, not confirmed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