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field notes</w:t>
      </w:r>
    </w:p>
    <w:p>
      <w:r>
        <w:rPr>
          <w:i/>
          <w:color w:val="605E5C"/>
        </w:rPr>
        <w:t>Prepared for the product team · Q3 summary</w:t>
      </w:r>
    </w:p>
    <w:p>
      <w:r>
        <w:t>This sample document was written for the Nitro XML demo. It is rendered by a Rust and WebAssembly engine entirely in your browser: no server, no upload.</w:t>
      </w:r>
    </w:p>
    <w:p>
      <w:pPr>
        <w:pStyle w:val="Heading1"/>
      </w:pPr>
      <w:r>
        <w:t>What we shipped</w:t>
      </w:r>
    </w:p>
    <w:p>
      <w:pPr>
        <w:pStyle w:val="ListBullet"/>
      </w:pPr>
      <w:r>
        <w:t>A faster first paint for large workbooks</w:t>
      </w:r>
    </w:p>
    <w:p>
      <w:pPr>
        <w:pStyle w:val="ListBullet"/>
      </w:pPr>
      <w:r>
        <w:t>Embedded toolbars for all three formats</w:t>
      </w:r>
    </w:p>
    <w:p>
      <w:pPr>
        <w:pStyle w:val="ListBullet"/>
      </w:pPr>
      <w:r>
        <w:t>Right-to-left text that lays out correctly</w:t>
      </w:r>
    </w:p>
    <w:p>
      <w:pPr>
        <w:pStyle w:val="Heading1"/>
      </w:pPr>
      <w:r>
        <w:t>Numbers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Q2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Q3</w:t>
            </w:r>
          </w:p>
        </w:tc>
      </w:tr>
      <w:tr>
        <w:tc>
          <w:tcPr>
            <w:tcW w:type="dxa" w:w="2880"/>
          </w:tcPr>
          <w:p>
            <w:r>
              <w:t>Files opened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12,400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18,950</w:t>
            </w:r>
          </w:p>
        </w:tc>
      </w:tr>
      <w:tr>
        <w:tc>
          <w:tcPr>
            <w:tcW w:type="dxa" w:w="2880"/>
          </w:tcPr>
          <w:p>
            <w:r>
              <w:t>Median open time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410 ms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290 ms</w:t>
            </w:r>
          </w:p>
        </w:tc>
      </w:tr>
      <w:tr>
        <w:tc>
          <w:tcPr>
            <w:tcW w:type="dxa" w:w="2880"/>
          </w:tcPr>
          <w:p>
            <w:r>
              <w:t>Crash-free sessions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99.2%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99.7%</w:t>
            </w:r>
          </w:p>
        </w:tc>
      </w:tr>
    </w:tbl>
    <w:p>
      <w:pPr>
        <w:pStyle w:val="Heading1"/>
      </w:pPr>
      <w:r>
        <w:t>Next steps</w:t>
      </w:r>
    </w:p>
    <w:p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</w:t>
      </w:r>
      <w:r>
        <w:rPr>
          <w:u w:val="single"/>
        </w:rPr>
        <w:t>underlined</w:t>
      </w:r>
      <w:r>
        <w:t xml:space="preserve"> runs, plus a numbered list:</w:t>
      </w:r>
    </w:p>
    <w:p>
      <w:pPr>
        <w:pStyle w:val="ListNumber"/>
      </w:pPr>
      <w:r>
        <w:t>Collect feedback from embedders</w:t>
      </w:r>
    </w:p>
    <w:p>
      <w:pPr>
        <w:pStyle w:val="ListNumber"/>
      </w:pPr>
      <w:r>
        <w:t>Land the editing commands</w:t>
      </w:r>
    </w:p>
    <w:p>
      <w:pPr>
        <w:pStyle w:val="ListNumber"/>
      </w:pPr>
      <w:r>
        <w:t>Publish the benchmark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field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