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D34D1" w14:textId="77777777" w:rsidR="008B2E6E" w:rsidRDefault="0072021B">
      <w:pPr>
        <w:spacing w:after="40"/>
        <w:jc w:val="center"/>
      </w:pPr>
      <w:r>
        <w:rPr>
          <w:b/>
          <w:bCs/>
          <w:color w:val="1F3864"/>
          <w:sz w:val="44"/>
          <w:szCs w:val="44"/>
        </w:rPr>
        <w:t>LIQUIDITY WATCH</w:t>
      </w:r>
    </w:p>
    <w:p w14:paraId="359013A9" w14:textId="77777777" w:rsidR="008B2E6E" w:rsidRDefault="0072021B">
      <w:pPr>
        <w:spacing w:after="160"/>
        <w:jc w:val="center"/>
      </w:pPr>
      <w:r>
        <w:rPr>
          <w:i/>
          <w:iCs/>
          <w:color w:val="2E5F6E"/>
          <w:sz w:val="24"/>
          <w:szCs w:val="24"/>
        </w:rPr>
        <w:t>Cross-Asset Liquidity, Leverage &amp; Positioning Monitor</w:t>
      </w:r>
    </w:p>
    <w:p w14:paraId="734F1D26" w14:textId="751D3681" w:rsidR="008B2E6E" w:rsidRDefault="0072021B">
      <w:pPr>
        <w:pBdr>
          <w:bottom w:val="single" w:sz="12" w:space="6" w:color="0F5C82"/>
        </w:pBdr>
        <w:spacing w:after="60"/>
        <w:jc w:val="center"/>
      </w:pPr>
      <w:r>
        <w:rPr>
          <w:color w:val="595959"/>
          <w:sz w:val="18"/>
          <w:szCs w:val="18"/>
        </w:rPr>
        <w:t>[</w:t>
      </w:r>
      <w:r w:rsidR="006056DB">
        <w:rPr>
          <w:color w:val="595959"/>
          <w:sz w:val="18"/>
          <w:szCs w:val="18"/>
        </w:rPr>
        <w:t>Joshua G. Smith] |</w:t>
      </w:r>
      <w:r>
        <w:rPr>
          <w:color w:val="595959"/>
          <w:sz w:val="18"/>
          <w:szCs w:val="18"/>
        </w:rPr>
        <w:t xml:space="preserve">   September </w:t>
      </w:r>
      <w:r w:rsidR="00940AEE">
        <w:rPr>
          <w:color w:val="595959"/>
          <w:sz w:val="18"/>
          <w:szCs w:val="18"/>
        </w:rPr>
        <w:t>13</w:t>
      </w:r>
      <w:r>
        <w:rPr>
          <w:color w:val="595959"/>
          <w:sz w:val="18"/>
          <w:szCs w:val="18"/>
        </w:rPr>
        <w:t xml:space="preserve">, </w:t>
      </w:r>
      <w:r w:rsidR="006056DB">
        <w:rPr>
          <w:color w:val="595959"/>
          <w:sz w:val="18"/>
          <w:szCs w:val="18"/>
        </w:rPr>
        <w:t>2026, |</w:t>
      </w:r>
      <w:r>
        <w:rPr>
          <w:color w:val="595959"/>
          <w:sz w:val="18"/>
          <w:szCs w:val="18"/>
        </w:rPr>
        <w:t xml:space="preserve">   </w:t>
      </w:r>
      <w:r>
        <w:rPr>
          <w:i/>
          <w:iCs/>
          <w:color w:val="595959"/>
          <w:sz w:val="18"/>
          <w:szCs w:val="18"/>
        </w:rPr>
        <w:t>For internal / informational use only — not investment advice</w:t>
      </w:r>
    </w:p>
    <w:p w14:paraId="3D1E2414" w14:textId="77777777" w:rsidR="008B2E6E" w:rsidRDefault="0072021B">
      <w:pPr>
        <w:spacing w:before="200" w:after="80"/>
      </w:pPr>
      <w:r>
        <w:rPr>
          <w:b/>
          <w:bCs/>
          <w:i/>
          <w:iCs/>
          <w:color w:val="2E5F6E"/>
        </w:rPr>
        <w:t>Current Backdrop</w:t>
      </w:r>
    </w:p>
    <w:p w14:paraId="485AF50C" w14:textId="598AA0FF" w:rsidR="008B2E6E" w:rsidRDefault="0072021B">
      <w:pPr>
        <w:spacing w:after="160" w:line="276" w:lineRule="auto"/>
        <w:jc w:val="both"/>
      </w:pPr>
      <w:r>
        <w:t xml:space="preserve">The big picture remains strong flows into equities with average options and positive gamma, creating an environment of “sogginess.” The problem is </w:t>
      </w:r>
      <w:r w:rsidR="00166737">
        <w:t>lack of catalysts</w:t>
      </w:r>
      <w:r>
        <w:t xml:space="preserve">: </w:t>
      </w:r>
      <w:r w:rsidR="00166737">
        <w:t xml:space="preserve">macro is terrible </w:t>
      </w:r>
      <w:r w:rsidR="00642906">
        <w:t xml:space="preserve">leading to bearish </w:t>
      </w:r>
      <w:r w:rsidR="00166737">
        <w:t xml:space="preserve">headlines. Despite this, major U.S indexes remain near ATH. </w:t>
      </w:r>
    </w:p>
    <w:p w14:paraId="6477A8C5" w14:textId="77777777" w:rsidR="008B2E6E" w:rsidRDefault="0072021B">
      <w:pPr>
        <w:pStyle w:val="Heading1"/>
        <w:pBdr>
          <w:bottom w:val="single" w:sz="8" w:space="4" w:color="0F5C82"/>
        </w:pBdr>
        <w:spacing w:before="320" w:after="120"/>
      </w:pPr>
      <w:r>
        <w:rPr>
          <w:b/>
          <w:bCs/>
          <w:color w:val="1F3864"/>
          <w:sz w:val="26"/>
          <w:szCs w:val="26"/>
        </w:rPr>
        <w:t>Leverage Watch</w:t>
      </w:r>
    </w:p>
    <w:p w14:paraId="5D927E7B" w14:textId="77777777" w:rsidR="008B2E6E" w:rsidRDefault="0072021B">
      <w:pPr>
        <w:spacing w:after="160" w:line="276" w:lineRule="auto"/>
        <w:jc w:val="both"/>
      </w:pPr>
      <w:r>
        <w:t xml:space="preserve">Leverage has been an important support for the current bull market, but growth is beginning to slow. OFR equity fund borrowings remain elevated </w:t>
      </w:r>
      <w:hyperlink w:anchor="fig1" w:history="1">
        <w:r w:rsidR="008B2E6E">
          <w:rPr>
            <w:i/>
            <w:iCs/>
            <w:color w:val="0F5C82"/>
            <w:u w:val="single"/>
          </w:rPr>
          <w:t>(Figure 1)</w:t>
        </w:r>
      </w:hyperlink>
      <w:r>
        <w:t xml:space="preserve">, FINRA margin debt is growing faster than the S&amp;P 500 </w:t>
      </w:r>
      <w:hyperlink w:anchor="fig2" w:history="1">
        <w:r w:rsidR="008B2E6E">
          <w:rPr>
            <w:i/>
            <w:iCs/>
            <w:color w:val="0F5C82"/>
            <w:u w:val="single"/>
          </w:rPr>
          <w:t>(Figure 2)</w:t>
        </w:r>
      </w:hyperlink>
      <w:r>
        <w:t xml:space="preserve">, and large banks continue to expand lending to asset managers and collateralized financing clients </w:t>
      </w:r>
      <w:hyperlink w:anchor="fig3" w:history="1">
        <w:r w:rsidR="008B2E6E">
          <w:rPr>
            <w:i/>
            <w:iCs/>
            <w:color w:val="0F5C82"/>
            <w:u w:val="single"/>
          </w:rPr>
          <w:t>(Figure 3)</w:t>
        </w:r>
      </w:hyperlink>
      <w:r>
        <w:t>. Historically, similar periods have coincided with strong market performance rather than immediate weakness.</w:t>
      </w:r>
    </w:p>
    <w:p w14:paraId="580B2A9F" w14:textId="34A5F574" w:rsidR="008B2E6E" w:rsidRDefault="0072021B">
      <w:pPr>
        <w:spacing w:after="160" w:line="276" w:lineRule="auto"/>
        <w:jc w:val="both"/>
      </w:pPr>
      <w:r>
        <w:t>The concern is not the absolute level of leverage but the</w:t>
      </w:r>
      <w:r w:rsidR="00642906">
        <w:t xml:space="preserve"> potential</w:t>
      </w:r>
      <w:r>
        <w:t xml:space="preserve"> change in direction. Margin debt growth has largely stalled over the last t</w:t>
      </w:r>
      <w:r w:rsidR="00642906">
        <w:t xml:space="preserve">hree </w:t>
      </w:r>
      <w:r>
        <w:t>months</w:t>
      </w:r>
      <w:r w:rsidR="00642906">
        <w:t xml:space="preserve"> (June-August)</w:t>
      </w:r>
      <w:r>
        <w:t>. If equity returns soften through September and October, leverage growth will contract month-over-month or quarter-over-quarter. While current conditions remain supportive, markets appear increasingly dependent on continued credit expansion — underscored by the fact that the Nasdaq has not made a new all-time high in three months and has been flat for four.</w:t>
      </w:r>
    </w:p>
    <w:p w14:paraId="3F6EEBDB" w14:textId="77777777" w:rsidR="008B2E6E" w:rsidRDefault="0072021B">
      <w:pPr>
        <w:pStyle w:val="Heading1"/>
        <w:pBdr>
          <w:bottom w:val="single" w:sz="8" w:space="4" w:color="0F5C82"/>
        </w:pBdr>
        <w:spacing w:before="320" w:after="120"/>
      </w:pPr>
      <w:r>
        <w:rPr>
          <w:b/>
          <w:bCs/>
          <w:color w:val="1F3864"/>
          <w:sz w:val="26"/>
          <w:szCs w:val="26"/>
        </w:rPr>
        <w:t>Retail Brokerage Metrics</w:t>
      </w:r>
    </w:p>
    <w:p w14:paraId="04CFD643" w14:textId="5623CF96" w:rsidR="000F1AE3" w:rsidRDefault="000F1AE3">
      <w:pPr>
        <w:spacing w:after="160" w:line="276" w:lineRule="auto"/>
        <w:jc w:val="both"/>
      </w:pPr>
      <w:r w:rsidRPr="000F1AE3">
        <w:t>Retail is no longer becoming more aggressive. YTD DARTs and DATS reported by Interactive Brokers, Robinhood and Charles Schwab show a gradual decline from January to March, a strong reacceleration between April and June, and another pullback during July and August. While retail participation remains historically elevated, supported by strong account growth, elevated margin balances and continued risk appetite, recent brokerage data suggest that retail engagement has stopped accelerating</w:t>
      </w:r>
      <w:r>
        <w:t xml:space="preserve"> (June – August)</w:t>
      </w:r>
      <w:r w:rsidRPr="000F1AE3">
        <w:t xml:space="preserve"> after a significant expansion between 2024 and mid-2026. The latest data indicate that trading activity is moderating, with part of the recent slowdown likely reflecting a shift in speculative activity towards digital assets.</w:t>
      </w:r>
    </w:p>
    <w:p w14:paraId="6D5FF3FD" w14:textId="77777777" w:rsidR="000F1AE3" w:rsidRDefault="000F1AE3">
      <w:pPr>
        <w:spacing w:after="160" w:line="276" w:lineRule="auto"/>
        <w:jc w:val="both"/>
      </w:pPr>
    </w:p>
    <w:p w14:paraId="0A013139" w14:textId="77777777" w:rsidR="000F1AE3" w:rsidRDefault="000F1AE3">
      <w:pPr>
        <w:spacing w:after="160" w:line="276" w:lineRule="auto"/>
        <w:jc w:val="both"/>
      </w:pPr>
    </w:p>
    <w:p w14:paraId="328A8B0B" w14:textId="77777777" w:rsidR="000F1AE3" w:rsidRDefault="000F1AE3">
      <w:pPr>
        <w:spacing w:after="160" w:line="276" w:lineRule="auto"/>
        <w:jc w:val="both"/>
      </w:pPr>
    </w:p>
    <w:p w14:paraId="44D8C7B1" w14:textId="77777777" w:rsidR="000F1AE3" w:rsidRDefault="000F1AE3">
      <w:pPr>
        <w:spacing w:after="160" w:line="276" w:lineRule="auto"/>
        <w:jc w:val="both"/>
      </w:pPr>
    </w:p>
    <w:p w14:paraId="4D8E8F78" w14:textId="77777777" w:rsidR="008B2E6E" w:rsidRDefault="0072021B">
      <w:pPr>
        <w:pStyle w:val="Heading1"/>
        <w:pBdr>
          <w:bottom w:val="single" w:sz="8" w:space="4" w:color="0F5C82"/>
        </w:pBdr>
        <w:spacing w:before="320" w:after="120"/>
      </w:pPr>
      <w:r>
        <w:rPr>
          <w:b/>
          <w:bCs/>
          <w:color w:val="1F3864"/>
          <w:sz w:val="26"/>
          <w:szCs w:val="26"/>
        </w:rPr>
        <w:lastRenderedPageBreak/>
        <w:t>Major Capital Flows</w:t>
      </w:r>
    </w:p>
    <w:p w14:paraId="7122D0F9" w14:textId="77777777" w:rsidR="008B2E6E" w:rsidRDefault="0072021B">
      <w:pPr>
        <w:spacing w:before="200" w:after="80"/>
      </w:pPr>
      <w:r>
        <w:rPr>
          <w:b/>
          <w:bCs/>
          <w:i/>
          <w:iCs/>
          <w:color w:val="2E5F6E"/>
        </w:rPr>
        <w:t>Foreign Flows</w:t>
      </w:r>
    </w:p>
    <w:p w14:paraId="5FB7CD40" w14:textId="77777777" w:rsidR="008B2E6E" w:rsidRDefault="0072021B">
      <w:pPr>
        <w:spacing w:after="160" w:line="276" w:lineRule="auto"/>
        <w:jc w:val="both"/>
      </w:pPr>
      <w:r>
        <w:t xml:space="preserve">Foreign flows continue to exhibit a strong preference for U.S. equities despite elevated Treasury yields and expectations that trade uncertainty would result in a rotation toward fixed income </w:t>
      </w:r>
      <w:hyperlink w:anchor="fig5" w:history="1">
        <w:r w:rsidR="008B2E6E">
          <w:rPr>
            <w:i/>
            <w:iCs/>
            <w:color w:val="0F5C82"/>
            <w:u w:val="single"/>
          </w:rPr>
          <w:t>(Figure 5)</w:t>
        </w:r>
      </w:hyperlink>
      <w:r>
        <w:t>. Since mid-2024, foreign bond purchases have stalled and subsequently weakened, while equity inflows have accelerated to new cycle highs. The divergence suggests investors remain focused on the earnings and growth opportunities associated with the AI investment cycle.</w:t>
      </w:r>
    </w:p>
    <w:p w14:paraId="294A0690" w14:textId="77777777" w:rsidR="008B2E6E" w:rsidRDefault="0072021B">
      <w:pPr>
        <w:spacing w:after="160" w:line="276" w:lineRule="auto"/>
        <w:jc w:val="both"/>
      </w:pPr>
      <w:r>
        <w:t xml:space="preserve">However, outside a small group of beneficiaries — including Nvidia, AMD, and Broadcom — free cash flow generation across the broader theme remains limited. Moreover, companies are increasingly using SPVs to obtain cash; however, these credit lines are slowing </w:t>
      </w:r>
      <w:hyperlink w:anchor="fig6" w:history="1">
        <w:r w:rsidR="008B2E6E">
          <w:rPr>
            <w:i/>
            <w:iCs/>
            <w:color w:val="0F5C82"/>
            <w:u w:val="single"/>
          </w:rPr>
          <w:t>(Figure 6)</w:t>
        </w:r>
      </w:hyperlink>
      <w:r>
        <w:t xml:space="preserve"> and CDS yields are rising.</w:t>
      </w:r>
    </w:p>
    <w:p w14:paraId="17EA94E3" w14:textId="77777777" w:rsidR="008B2E6E" w:rsidRDefault="0072021B">
      <w:pPr>
        <w:spacing w:before="200" w:after="80"/>
      </w:pPr>
      <w:r>
        <w:rPr>
          <w:b/>
          <w:bCs/>
          <w:i/>
          <w:iCs/>
          <w:color w:val="2E5F6E"/>
        </w:rPr>
        <w:t>ETF &amp; Mutual Fund Flows</w:t>
      </w:r>
    </w:p>
    <w:p w14:paraId="1D5E8263" w14:textId="4A339AB5" w:rsidR="008B2E6E" w:rsidRDefault="0072021B">
      <w:pPr>
        <w:spacing w:after="160" w:line="276" w:lineRule="auto"/>
        <w:jc w:val="both"/>
      </w:pPr>
      <w:r>
        <w:t xml:space="preserve">Mutual funds continue to allocate heavily toward fixed income products, providing an offset to weaker international demand. Meanwhile, ETF equity issuance remains exceptionally strong, with cumulative equity flows reaching approximately $1 trillion and continuing to support market liquidity </w:t>
      </w:r>
      <w:hyperlink w:anchor="fig7" w:history="1">
        <w:r w:rsidR="008B2E6E">
          <w:rPr>
            <w:i/>
            <w:iCs/>
            <w:color w:val="0F5C82"/>
            <w:u w:val="single"/>
          </w:rPr>
          <w:t>(Figure 7)</w:t>
        </w:r>
      </w:hyperlink>
      <w:r>
        <w:t>.</w:t>
      </w:r>
    </w:p>
    <w:p w14:paraId="4DBCD31A" w14:textId="77777777" w:rsidR="008B2E6E" w:rsidRDefault="0072021B">
      <w:pPr>
        <w:spacing w:before="200" w:after="80"/>
      </w:pPr>
      <w:r>
        <w:rPr>
          <w:b/>
          <w:bCs/>
          <w:i/>
          <w:iCs/>
          <w:color w:val="2E5F6E"/>
        </w:rPr>
        <w:t>Households and Bank AUM</w:t>
      </w:r>
    </w:p>
    <w:p w14:paraId="5FFB5CB1" w14:textId="77777777" w:rsidR="008B2E6E" w:rsidRDefault="0072021B">
      <w:pPr>
        <w:spacing w:after="160" w:line="276" w:lineRule="auto"/>
        <w:jc w:val="both"/>
      </w:pPr>
      <w:r>
        <w:t xml:space="preserve">Balances are growing faster than the underlying market. This suggests continued inflows into risk assets and an ongoing willingness among investors to maintain elevated equity exposure </w:t>
      </w:r>
      <w:hyperlink w:anchor="fig8" w:history="1">
        <w:r w:rsidR="008B2E6E">
          <w:rPr>
            <w:i/>
            <w:iCs/>
            <w:color w:val="0F5C82"/>
            <w:u w:val="single"/>
          </w:rPr>
          <w:t>(Figure 8)</w:t>
        </w:r>
      </w:hyperlink>
      <w:r>
        <w:t>.</w:t>
      </w:r>
    </w:p>
    <w:p w14:paraId="491FE0BF" w14:textId="12B61E1B" w:rsidR="008B2E6E" w:rsidRDefault="004C2AE9">
      <w:pPr>
        <w:spacing w:after="160" w:line="276" w:lineRule="auto"/>
        <w:jc w:val="both"/>
      </w:pPr>
      <w:r w:rsidRPr="004C2AE9">
        <w:t>One key issue stands out: flows relative to asset size remain modest both historically and relative to the current asset base</w:t>
      </w:r>
      <w:r>
        <w:t xml:space="preserve"> </w:t>
      </w:r>
      <w:hyperlink w:anchor="fig9" w:history="1">
        <w:r w:rsidR="008B2E6E">
          <w:rPr>
            <w:i/>
            <w:iCs/>
            <w:color w:val="0F5C82"/>
            <w:u w:val="single"/>
          </w:rPr>
          <w:t>(Figure 9)</w:t>
        </w:r>
      </w:hyperlink>
      <w:r>
        <w:t xml:space="preserve">. </w:t>
      </w:r>
      <w:r w:rsidRPr="004C2AE9">
        <w:t>For example, in Q4 2021, BlackRock generated approximately $850 billion of trailing twelve-month equity flows, equivalent to roughly 11% of equity AUM. Today, the comparable figure is closer to 5%</w:t>
      </w:r>
      <w:r>
        <w:t>.</w:t>
      </w:r>
    </w:p>
    <w:p w14:paraId="66FDCF2F" w14:textId="77777777" w:rsidR="008B2E6E" w:rsidRDefault="0072021B">
      <w:pPr>
        <w:pStyle w:val="Heading1"/>
        <w:pBdr>
          <w:bottom w:val="single" w:sz="8" w:space="4" w:color="0F5C82"/>
        </w:pBdr>
        <w:spacing w:before="320" w:after="120"/>
      </w:pPr>
      <w:r>
        <w:rPr>
          <w:b/>
          <w:bCs/>
          <w:color w:val="1F3864"/>
          <w:sz w:val="26"/>
          <w:szCs w:val="26"/>
        </w:rPr>
        <w:t>Market Internals &amp; Positioning</w:t>
      </w:r>
    </w:p>
    <w:p w14:paraId="32022913" w14:textId="77777777" w:rsidR="008B2E6E" w:rsidRDefault="0072021B">
      <w:pPr>
        <w:spacing w:after="160" w:line="276" w:lineRule="auto"/>
        <w:jc w:val="both"/>
      </w:pPr>
      <w:r>
        <w:t xml:space="preserve">While index levels remain near highs, underlying participation has deteriorated. Share volume across U.S. equities has reached –1.5 standard deviations on a lookback since 2025 </w:t>
      </w:r>
      <w:hyperlink w:anchor="fig10" w:history="1">
        <w:r w:rsidR="008B2E6E">
          <w:rPr>
            <w:i/>
            <w:iCs/>
            <w:color w:val="0F5C82"/>
            <w:u w:val="single"/>
          </w:rPr>
          <w:t>(Figure 10)</w:t>
        </w:r>
      </w:hyperlink>
      <w:r>
        <w:t>, indicating reduced conviction among long-term buyers.</w:t>
      </w:r>
    </w:p>
    <w:p w14:paraId="17EE8011" w14:textId="77777777" w:rsidR="008B2E6E" w:rsidRDefault="0072021B">
      <w:pPr>
        <w:spacing w:after="160" w:line="276" w:lineRule="auto"/>
        <w:jc w:val="both"/>
      </w:pPr>
      <w:r>
        <w:t>The volatility backdrop remains unusually supportive for risk assets. The VIX continues to trade at subdued levels despite elevated valuations and geopolitical uncertainty.</w:t>
      </w:r>
    </w:p>
    <w:p w14:paraId="33B3CE90" w14:textId="119E8726" w:rsidR="008B2E6E" w:rsidRDefault="0072021B">
      <w:pPr>
        <w:spacing w:after="160" w:line="276" w:lineRule="auto"/>
        <w:jc w:val="both"/>
      </w:pPr>
      <w:r>
        <w:t xml:space="preserve">Option volumes: a surge in volumes from April to June </w:t>
      </w:r>
      <w:r w:rsidR="004C2AE9">
        <w:t xml:space="preserve">and continued activity has </w:t>
      </w:r>
      <w:r>
        <w:t>resulted in positive dealer gamma, stabilizing markets by depressing volatility. This has encouraged volatility-selling strategies and systematic positioning.</w:t>
      </w:r>
    </w:p>
    <w:p w14:paraId="1408419B" w14:textId="0BB9016C" w:rsidR="008B2E6E" w:rsidRDefault="00D764FC">
      <w:pPr>
        <w:spacing w:after="160" w:line="276" w:lineRule="auto"/>
        <w:jc w:val="both"/>
      </w:pPr>
      <w:r w:rsidRPr="00D764FC">
        <w:t>As September OPEX approaches and dealer exposure resets, some of this stabilizing influence could weaken. At the same time, quarter-end pension rebalancing may create an additional source of equity selling and fixed-income buying, particularly as systematic equity exposure has rebuilt from the July lows.</w:t>
      </w:r>
    </w:p>
    <w:p w14:paraId="76AA30A9" w14:textId="77777777" w:rsidR="004C2AE9" w:rsidRDefault="004C2AE9">
      <w:pPr>
        <w:pStyle w:val="Heading1"/>
        <w:pBdr>
          <w:bottom w:val="single" w:sz="8" w:space="4" w:color="0F5C82"/>
        </w:pBdr>
        <w:spacing w:before="320" w:after="120"/>
        <w:rPr>
          <w:b/>
          <w:bCs/>
          <w:color w:val="1F3864"/>
          <w:sz w:val="26"/>
          <w:szCs w:val="26"/>
        </w:rPr>
      </w:pPr>
    </w:p>
    <w:p w14:paraId="1BC9A23D" w14:textId="6FADB94A" w:rsidR="008B2E6E" w:rsidRDefault="0072021B">
      <w:pPr>
        <w:pStyle w:val="Heading1"/>
        <w:pBdr>
          <w:bottom w:val="single" w:sz="8" w:space="4" w:color="0F5C82"/>
        </w:pBdr>
        <w:spacing w:before="320" w:after="120"/>
      </w:pPr>
      <w:r>
        <w:rPr>
          <w:b/>
          <w:bCs/>
          <w:color w:val="1F3864"/>
          <w:sz w:val="26"/>
          <w:szCs w:val="26"/>
        </w:rPr>
        <w:t>Path Forward</w:t>
      </w:r>
    </w:p>
    <w:p w14:paraId="36D4CD37" w14:textId="03F575BC" w:rsidR="00D764FC" w:rsidRPr="00D764FC" w:rsidRDefault="00D764FC">
      <w:pPr>
        <w:spacing w:after="160" w:line="276" w:lineRule="auto"/>
        <w:jc w:val="both"/>
      </w:pPr>
      <w:r w:rsidRPr="00D764FC">
        <w:rPr>
          <w:b/>
          <w:bCs/>
        </w:rPr>
        <w:t xml:space="preserve">Catalysts: </w:t>
      </w:r>
      <w:r w:rsidRPr="00D764FC">
        <w:t>Markets are approaching several near-term events that could challenge the current low-volatility environment. September OPEX may reduce dealer gamma support and expose equities to greater directional moves, particularly if volatility continues to rise and the S&amp;P 500 breaks below key support near 7,600. In addition, upcoming developments surrounding Oman-Iran negotiations and the Federal Reserve meeting could act as catalysts for repositioning.</w:t>
      </w:r>
    </w:p>
    <w:p w14:paraId="2B32820E" w14:textId="77777777" w:rsidR="00D764FC" w:rsidRDefault="00D764FC">
      <w:pPr>
        <w:spacing w:after="160" w:line="276" w:lineRule="auto"/>
        <w:jc w:val="both"/>
        <w:rPr>
          <w:b/>
          <w:bCs/>
        </w:rPr>
      </w:pPr>
    </w:p>
    <w:p w14:paraId="3F976178" w14:textId="203F9EAD" w:rsidR="008B2E6E" w:rsidRDefault="0072021B">
      <w:pPr>
        <w:spacing w:after="160" w:line="276" w:lineRule="auto"/>
        <w:jc w:val="both"/>
      </w:pPr>
      <w:r>
        <w:rPr>
          <w:b/>
          <w:bCs/>
        </w:rPr>
        <w:t xml:space="preserve">Infrastructure problems: </w:t>
      </w:r>
      <w:r w:rsidR="00D764FC" w:rsidRPr="00D764FC">
        <w:t>Infrastructure constraints: Semiconductor supply chains remain vulnerable despite strong AI-driven demand. Taiwan's advanced chip ecosystem remains dependent on imported energy and industrial gases, including natural gas and helium. Current inventories provide a buffer, but a prolonged disruption to supply routes could begin affecting production capacity by late Q4. Given the market's concentration in AI-related beneficiaries, any material constraint on semiconductor output could have implications far beyond the technology sector.</w:t>
      </w:r>
    </w:p>
    <w:p w14:paraId="55F6AE52" w14:textId="77777777" w:rsidR="00166737" w:rsidRDefault="00166737">
      <w:pPr>
        <w:spacing w:after="160" w:line="276" w:lineRule="auto"/>
        <w:jc w:val="both"/>
        <w:rPr>
          <w:b/>
          <w:bCs/>
        </w:rPr>
      </w:pPr>
    </w:p>
    <w:p w14:paraId="2D8308FE" w14:textId="2342D38A" w:rsidR="008B2E6E" w:rsidRPr="00940AEE" w:rsidRDefault="0072021B">
      <w:pPr>
        <w:spacing w:after="160" w:line="276" w:lineRule="auto"/>
        <w:jc w:val="both"/>
      </w:pPr>
      <w:r>
        <w:rPr>
          <w:b/>
          <w:bCs/>
        </w:rPr>
        <w:t xml:space="preserve">Tactical view: </w:t>
      </w:r>
      <w:r w:rsidR="00940AEE" w:rsidRPr="00940AEE">
        <w:t>The market appears to be transitioning from an environment of accelerating liquidity to one of moderation. While this raises the probability of a deeper pullback, confirmation is still required. The most important indicators over the coming weeks will be ETF flows, options positioning and market sentiment following September OPEX, together with developments in the Iran conflict.</w:t>
      </w:r>
    </w:p>
    <w:p w14:paraId="16FCCE4B" w14:textId="77777777" w:rsidR="008B2E6E" w:rsidRDefault="0072021B">
      <w:r>
        <w:br w:type="page"/>
      </w:r>
    </w:p>
    <w:p w14:paraId="7B82DACD" w14:textId="77777777" w:rsidR="008B2E6E" w:rsidRDefault="0072021B">
      <w:pPr>
        <w:pStyle w:val="Heading1"/>
        <w:pBdr>
          <w:bottom w:val="single" w:sz="8" w:space="4" w:color="0F5C82"/>
        </w:pBdr>
        <w:spacing w:before="320" w:after="120"/>
      </w:pPr>
      <w:r>
        <w:rPr>
          <w:b/>
          <w:bCs/>
          <w:color w:val="1F3864"/>
          <w:sz w:val="26"/>
          <w:szCs w:val="26"/>
        </w:rPr>
        <w:lastRenderedPageBreak/>
        <w:t>Appendix — Exhibits</w:t>
      </w:r>
    </w:p>
    <w:p w14:paraId="2EF703FA" w14:textId="77777777" w:rsidR="008B2E6E" w:rsidRDefault="0072021B">
      <w:pPr>
        <w:keepNext/>
        <w:spacing w:before="240" w:after="60"/>
      </w:pPr>
      <w:bookmarkStart w:id="0" w:name="fig1"/>
      <w:r>
        <w:rPr>
          <w:b/>
          <w:bCs/>
          <w:color w:val="1F3864"/>
          <w:sz w:val="21"/>
          <w:szCs w:val="21"/>
        </w:rPr>
        <w:t>Figure 1</w:t>
      </w:r>
      <w:r>
        <w:rPr>
          <w:i/>
          <w:iCs/>
          <w:color w:val="595959"/>
          <w:sz w:val="21"/>
          <w:szCs w:val="21"/>
        </w:rPr>
        <w:t xml:space="preserve">  —  OFR equity fund borrowings YoY vs. S&amp;P 500</w:t>
      </w:r>
      <w:bookmarkEnd w:id="0"/>
    </w:p>
    <w:p w14:paraId="55605B4C" w14:textId="77777777" w:rsidR="008B2E6E" w:rsidRDefault="0072021B">
      <w:pPr>
        <w:pBdr>
          <w:bottom w:val="single" w:sz="4" w:space="8" w:color="BFBFBF"/>
        </w:pBdr>
        <w:spacing w:after="240"/>
        <w:jc w:val="center"/>
      </w:pPr>
      <w:r>
        <w:rPr>
          <w:noProof/>
        </w:rPr>
        <w:drawing>
          <wp:inline distT="0" distB="0" distL="0" distR="0" wp14:anchorId="77A19952" wp14:editId="0D83D1E2">
            <wp:extent cx="5760720" cy="34401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0720" cy="3440106"/>
                    </a:xfrm>
                    <a:prstGeom prst="rect">
                      <a:avLst/>
                    </a:prstGeom>
                  </pic:spPr>
                </pic:pic>
              </a:graphicData>
            </a:graphic>
          </wp:inline>
        </w:drawing>
      </w:r>
    </w:p>
    <w:p w14:paraId="6C9B4567" w14:textId="77777777" w:rsidR="008B2E6E" w:rsidRDefault="0072021B">
      <w:pPr>
        <w:keepNext/>
        <w:spacing w:before="240" w:after="60"/>
      </w:pPr>
      <w:bookmarkStart w:id="1" w:name="fig2"/>
      <w:r>
        <w:rPr>
          <w:b/>
          <w:bCs/>
          <w:color w:val="1F3864"/>
          <w:sz w:val="21"/>
          <w:szCs w:val="21"/>
        </w:rPr>
        <w:t>Figure 2</w:t>
      </w:r>
      <w:r>
        <w:rPr>
          <w:i/>
          <w:iCs/>
          <w:color w:val="595959"/>
          <w:sz w:val="21"/>
          <w:szCs w:val="21"/>
        </w:rPr>
        <w:t xml:space="preserve">  —  FINRA margin debt YoY vs. S&amp;P 500</w:t>
      </w:r>
      <w:bookmarkEnd w:id="1"/>
    </w:p>
    <w:p w14:paraId="1BC2759C" w14:textId="77777777" w:rsidR="008B2E6E" w:rsidRDefault="0072021B">
      <w:pPr>
        <w:pBdr>
          <w:bottom w:val="single" w:sz="4" w:space="8" w:color="BFBFBF"/>
        </w:pBdr>
        <w:spacing w:after="240"/>
        <w:jc w:val="center"/>
      </w:pPr>
      <w:r>
        <w:rPr>
          <w:noProof/>
        </w:rPr>
        <w:drawing>
          <wp:inline distT="0" distB="0" distL="0" distR="0" wp14:anchorId="15177E95" wp14:editId="415FC570">
            <wp:extent cx="5760720" cy="3224554"/>
            <wp:effectExtent l="0" t="0" r="0" b="0"/>
            <wp:docPr id="1963821193" name="Picture 1963821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0720" cy="3224554"/>
                    </a:xfrm>
                    <a:prstGeom prst="rect">
                      <a:avLst/>
                    </a:prstGeom>
                  </pic:spPr>
                </pic:pic>
              </a:graphicData>
            </a:graphic>
          </wp:inline>
        </w:drawing>
      </w:r>
    </w:p>
    <w:p w14:paraId="0E269873" w14:textId="77777777" w:rsidR="008B2E6E" w:rsidRDefault="0072021B">
      <w:pPr>
        <w:keepNext/>
        <w:spacing w:before="240" w:after="60"/>
      </w:pPr>
      <w:bookmarkStart w:id="2" w:name="fig3"/>
      <w:r>
        <w:rPr>
          <w:b/>
          <w:bCs/>
          <w:color w:val="1F3864"/>
          <w:sz w:val="21"/>
          <w:szCs w:val="21"/>
        </w:rPr>
        <w:lastRenderedPageBreak/>
        <w:t>Figure 3</w:t>
      </w:r>
      <w:r>
        <w:rPr>
          <w:i/>
          <w:iCs/>
          <w:color w:val="595959"/>
          <w:sz w:val="21"/>
          <w:szCs w:val="21"/>
        </w:rPr>
        <w:t xml:space="preserve">  —  JPM credit lines / bank lending to asset managers</w:t>
      </w:r>
      <w:bookmarkEnd w:id="2"/>
    </w:p>
    <w:p w14:paraId="79B31EC8" w14:textId="77777777" w:rsidR="008B2E6E" w:rsidRDefault="0072021B">
      <w:pPr>
        <w:pBdr>
          <w:bottom w:val="single" w:sz="4" w:space="8" w:color="BFBFBF"/>
        </w:pBdr>
        <w:spacing w:after="240"/>
        <w:jc w:val="center"/>
      </w:pPr>
      <w:r>
        <w:rPr>
          <w:noProof/>
        </w:rPr>
        <w:drawing>
          <wp:inline distT="0" distB="0" distL="0" distR="0" wp14:anchorId="12263314" wp14:editId="5E82547D">
            <wp:extent cx="5760720" cy="2865849"/>
            <wp:effectExtent l="0" t="0" r="0" b="0"/>
            <wp:docPr id="1131102579" name="Picture 1131102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0720" cy="2865849"/>
                    </a:xfrm>
                    <a:prstGeom prst="rect">
                      <a:avLst/>
                    </a:prstGeom>
                  </pic:spPr>
                </pic:pic>
              </a:graphicData>
            </a:graphic>
          </wp:inline>
        </w:drawing>
      </w:r>
    </w:p>
    <w:p w14:paraId="67B0E8E6" w14:textId="77777777" w:rsidR="008B2E6E" w:rsidRDefault="0072021B">
      <w:pPr>
        <w:keepNext/>
        <w:spacing w:before="240" w:after="60"/>
      </w:pPr>
      <w:bookmarkStart w:id="3" w:name="fig4"/>
      <w:r>
        <w:rPr>
          <w:b/>
          <w:bCs/>
          <w:color w:val="1F3864"/>
          <w:sz w:val="21"/>
          <w:szCs w:val="21"/>
        </w:rPr>
        <w:t>Figure 4</w:t>
      </w:r>
      <w:r>
        <w:rPr>
          <w:i/>
          <w:iCs/>
          <w:color w:val="595959"/>
          <w:sz w:val="21"/>
          <w:szCs w:val="21"/>
        </w:rPr>
        <w:t xml:space="preserve">  —  Retail trading activity growth — DARTs vs. DATS</w:t>
      </w:r>
      <w:bookmarkEnd w:id="3"/>
    </w:p>
    <w:p w14:paraId="08E39E58" w14:textId="77777777" w:rsidR="008B2E6E" w:rsidRDefault="0072021B">
      <w:pPr>
        <w:pBdr>
          <w:bottom w:val="single" w:sz="4" w:space="8" w:color="BFBFBF"/>
        </w:pBdr>
        <w:spacing w:after="240"/>
        <w:jc w:val="center"/>
      </w:pPr>
      <w:r>
        <w:rPr>
          <w:noProof/>
        </w:rPr>
        <w:drawing>
          <wp:inline distT="0" distB="0" distL="0" distR="0" wp14:anchorId="48F03187" wp14:editId="41A8D405">
            <wp:extent cx="5760720" cy="3630550"/>
            <wp:effectExtent l="0" t="0" r="0" b="0"/>
            <wp:docPr id="2127091534" name="Picture 2127091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0720" cy="3630550"/>
                    </a:xfrm>
                    <a:prstGeom prst="rect">
                      <a:avLst/>
                    </a:prstGeom>
                  </pic:spPr>
                </pic:pic>
              </a:graphicData>
            </a:graphic>
          </wp:inline>
        </w:drawing>
      </w:r>
    </w:p>
    <w:p w14:paraId="1F3E40D4" w14:textId="77777777" w:rsidR="008B2E6E" w:rsidRDefault="0072021B">
      <w:pPr>
        <w:keepNext/>
        <w:spacing w:before="240" w:after="60"/>
      </w:pPr>
      <w:bookmarkStart w:id="4" w:name="fig5"/>
      <w:r>
        <w:rPr>
          <w:b/>
          <w:bCs/>
          <w:color w:val="1F3864"/>
          <w:sz w:val="21"/>
          <w:szCs w:val="21"/>
        </w:rPr>
        <w:lastRenderedPageBreak/>
        <w:t>Figure 5</w:t>
      </w:r>
      <w:r>
        <w:rPr>
          <w:i/>
          <w:iCs/>
          <w:color w:val="595959"/>
          <w:sz w:val="21"/>
          <w:szCs w:val="21"/>
        </w:rPr>
        <w:t xml:space="preserve">  —  Foreign investor preference — U.S. equity vs. bond flows</w:t>
      </w:r>
      <w:bookmarkEnd w:id="4"/>
    </w:p>
    <w:p w14:paraId="3249DAF6" w14:textId="77777777" w:rsidR="008B2E6E" w:rsidRDefault="0072021B">
      <w:pPr>
        <w:pBdr>
          <w:bottom w:val="single" w:sz="4" w:space="8" w:color="BFBFBF"/>
        </w:pBdr>
        <w:spacing w:after="240"/>
        <w:jc w:val="center"/>
      </w:pPr>
      <w:r>
        <w:rPr>
          <w:noProof/>
        </w:rPr>
        <w:drawing>
          <wp:inline distT="0" distB="0" distL="0" distR="0" wp14:anchorId="04DAA4B4" wp14:editId="52ED3B8C">
            <wp:extent cx="5760720" cy="3083706"/>
            <wp:effectExtent l="0" t="0" r="0" b="0"/>
            <wp:docPr id="2909782" name="Picture 2909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0720" cy="3083706"/>
                    </a:xfrm>
                    <a:prstGeom prst="rect">
                      <a:avLst/>
                    </a:prstGeom>
                  </pic:spPr>
                </pic:pic>
              </a:graphicData>
            </a:graphic>
          </wp:inline>
        </w:drawing>
      </w:r>
    </w:p>
    <w:p w14:paraId="5661CFF4" w14:textId="77777777" w:rsidR="008B2E6E" w:rsidRDefault="0072021B">
      <w:pPr>
        <w:keepNext/>
        <w:spacing w:before="240" w:after="60"/>
      </w:pPr>
      <w:bookmarkStart w:id="5" w:name="fig6"/>
      <w:r>
        <w:rPr>
          <w:b/>
          <w:bCs/>
          <w:color w:val="1F3864"/>
          <w:sz w:val="21"/>
          <w:szCs w:val="21"/>
        </w:rPr>
        <w:t>Figure 6</w:t>
      </w:r>
      <w:r>
        <w:rPr>
          <w:i/>
          <w:iCs/>
          <w:color w:val="595959"/>
          <w:sz w:val="21"/>
          <w:szCs w:val="21"/>
        </w:rPr>
        <w:t xml:space="preserve">  —  JPM credit lines, other loans (predominantly SPV loans)</w:t>
      </w:r>
      <w:bookmarkEnd w:id="5"/>
    </w:p>
    <w:p w14:paraId="0173B383" w14:textId="77777777" w:rsidR="008B2E6E" w:rsidRDefault="0072021B">
      <w:pPr>
        <w:pBdr>
          <w:bottom w:val="single" w:sz="4" w:space="8" w:color="BFBFBF"/>
        </w:pBdr>
        <w:spacing w:after="240"/>
        <w:jc w:val="center"/>
      </w:pPr>
      <w:r>
        <w:rPr>
          <w:noProof/>
        </w:rPr>
        <w:drawing>
          <wp:inline distT="0" distB="0" distL="0" distR="0" wp14:anchorId="72123F80" wp14:editId="411B02F1">
            <wp:extent cx="5760720" cy="3380896"/>
            <wp:effectExtent l="0" t="0" r="0" b="0"/>
            <wp:docPr id="1539516968" name="Picture 1539516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0720" cy="3380896"/>
                    </a:xfrm>
                    <a:prstGeom prst="rect">
                      <a:avLst/>
                    </a:prstGeom>
                  </pic:spPr>
                </pic:pic>
              </a:graphicData>
            </a:graphic>
          </wp:inline>
        </w:drawing>
      </w:r>
    </w:p>
    <w:p w14:paraId="4EBA6355" w14:textId="77777777" w:rsidR="008B2E6E" w:rsidRDefault="0072021B">
      <w:pPr>
        <w:keepNext/>
        <w:spacing w:before="240" w:after="60"/>
      </w:pPr>
      <w:bookmarkStart w:id="6" w:name="fig7"/>
      <w:r>
        <w:rPr>
          <w:b/>
          <w:bCs/>
          <w:color w:val="1F3864"/>
          <w:sz w:val="21"/>
          <w:szCs w:val="21"/>
        </w:rPr>
        <w:lastRenderedPageBreak/>
        <w:t>Figure 7</w:t>
      </w:r>
      <w:r>
        <w:rPr>
          <w:i/>
          <w:iCs/>
          <w:color w:val="595959"/>
          <w:sz w:val="21"/>
          <w:szCs w:val="21"/>
        </w:rPr>
        <w:t xml:space="preserve">  —  ICI TTM net flows — bonds vs. domestic equity ETFs</w:t>
      </w:r>
      <w:bookmarkEnd w:id="6"/>
    </w:p>
    <w:p w14:paraId="5F819D4D" w14:textId="77777777" w:rsidR="008B2E6E" w:rsidRDefault="0072021B">
      <w:pPr>
        <w:pBdr>
          <w:bottom w:val="single" w:sz="4" w:space="8" w:color="BFBFBF"/>
        </w:pBdr>
        <w:spacing w:after="240"/>
        <w:jc w:val="center"/>
      </w:pPr>
      <w:r>
        <w:rPr>
          <w:noProof/>
        </w:rPr>
        <w:drawing>
          <wp:inline distT="0" distB="0" distL="0" distR="0" wp14:anchorId="444CB1B1" wp14:editId="4D499A7B">
            <wp:extent cx="5760720" cy="3226583"/>
            <wp:effectExtent l="0" t="0" r="0" b="0"/>
            <wp:docPr id="805612045" name="Picture 805612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0720" cy="3226583"/>
                    </a:xfrm>
                    <a:prstGeom prst="rect">
                      <a:avLst/>
                    </a:prstGeom>
                  </pic:spPr>
                </pic:pic>
              </a:graphicData>
            </a:graphic>
          </wp:inline>
        </w:drawing>
      </w:r>
    </w:p>
    <w:p w14:paraId="0A7C8E15" w14:textId="77777777" w:rsidR="008B2E6E" w:rsidRDefault="0072021B">
      <w:pPr>
        <w:keepNext/>
        <w:spacing w:before="240" w:after="60"/>
      </w:pPr>
      <w:bookmarkStart w:id="7" w:name="fig8"/>
      <w:r>
        <w:rPr>
          <w:b/>
          <w:bCs/>
          <w:color w:val="1F3864"/>
          <w:sz w:val="21"/>
          <w:szCs w:val="21"/>
        </w:rPr>
        <w:t>Figure 8</w:t>
      </w:r>
      <w:r>
        <w:rPr>
          <w:i/>
          <w:iCs/>
          <w:color w:val="595959"/>
          <w:sz w:val="21"/>
          <w:szCs w:val="21"/>
        </w:rPr>
        <w:t xml:space="preserve">  —  TTM household equity change vs. AAII bullish sentiment vs. SPX spread</w:t>
      </w:r>
      <w:bookmarkEnd w:id="7"/>
    </w:p>
    <w:p w14:paraId="67637FD0" w14:textId="77777777" w:rsidR="008B2E6E" w:rsidRDefault="0072021B">
      <w:pPr>
        <w:pBdr>
          <w:bottom w:val="single" w:sz="4" w:space="8" w:color="BFBFBF"/>
        </w:pBdr>
        <w:spacing w:after="240"/>
        <w:jc w:val="center"/>
      </w:pPr>
      <w:r>
        <w:rPr>
          <w:noProof/>
        </w:rPr>
        <w:drawing>
          <wp:inline distT="0" distB="0" distL="0" distR="0" wp14:anchorId="1BB84FF4" wp14:editId="08E0135E">
            <wp:extent cx="5760720" cy="2996348"/>
            <wp:effectExtent l="0" t="0" r="0" b="0"/>
            <wp:docPr id="399319426" name="Picture 399319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0720" cy="2996348"/>
                    </a:xfrm>
                    <a:prstGeom prst="rect">
                      <a:avLst/>
                    </a:prstGeom>
                  </pic:spPr>
                </pic:pic>
              </a:graphicData>
            </a:graphic>
          </wp:inline>
        </w:drawing>
      </w:r>
    </w:p>
    <w:p w14:paraId="6F2B33A3" w14:textId="77777777" w:rsidR="008B2E6E" w:rsidRDefault="0072021B">
      <w:pPr>
        <w:keepNext/>
        <w:spacing w:before="240" w:after="60"/>
      </w:pPr>
      <w:bookmarkStart w:id="8" w:name="fig9"/>
      <w:r>
        <w:rPr>
          <w:b/>
          <w:bCs/>
          <w:color w:val="1F3864"/>
          <w:sz w:val="21"/>
          <w:szCs w:val="21"/>
        </w:rPr>
        <w:lastRenderedPageBreak/>
        <w:t>Figure 9</w:t>
      </w:r>
      <w:r>
        <w:rPr>
          <w:i/>
          <w:iCs/>
          <w:color w:val="595959"/>
          <w:sz w:val="21"/>
          <w:szCs w:val="21"/>
        </w:rPr>
        <w:t xml:space="preserve">  —  BlackRock flows — 4-quarter annual rate &amp; % of AUM</w:t>
      </w:r>
      <w:bookmarkEnd w:id="8"/>
    </w:p>
    <w:p w14:paraId="6768F5B0" w14:textId="77777777" w:rsidR="008B2E6E" w:rsidRDefault="0072021B">
      <w:pPr>
        <w:pBdr>
          <w:bottom w:val="single" w:sz="4" w:space="8" w:color="BFBFBF"/>
        </w:pBdr>
        <w:spacing w:after="240"/>
        <w:jc w:val="center"/>
      </w:pPr>
      <w:r>
        <w:rPr>
          <w:noProof/>
        </w:rPr>
        <w:drawing>
          <wp:inline distT="0" distB="0" distL="0" distR="0" wp14:anchorId="1753BAD1" wp14:editId="0232AA36">
            <wp:extent cx="5760720" cy="3526151"/>
            <wp:effectExtent l="0" t="0" r="0" b="0"/>
            <wp:docPr id="232112482" name="Picture 232112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0720" cy="3526151"/>
                    </a:xfrm>
                    <a:prstGeom prst="rect">
                      <a:avLst/>
                    </a:prstGeom>
                  </pic:spPr>
                </pic:pic>
              </a:graphicData>
            </a:graphic>
          </wp:inline>
        </w:drawing>
      </w:r>
    </w:p>
    <w:p w14:paraId="40A65C58" w14:textId="77777777" w:rsidR="008B2E6E" w:rsidRDefault="0072021B">
      <w:pPr>
        <w:keepNext/>
        <w:spacing w:before="240" w:after="60"/>
      </w:pPr>
      <w:bookmarkStart w:id="9" w:name="fig10"/>
      <w:r>
        <w:rPr>
          <w:b/>
          <w:bCs/>
          <w:color w:val="1F3864"/>
          <w:sz w:val="21"/>
          <w:szCs w:val="21"/>
        </w:rPr>
        <w:t>Figure 10</w:t>
      </w:r>
      <w:r>
        <w:rPr>
          <w:i/>
          <w:iCs/>
          <w:color w:val="595959"/>
          <w:sz w:val="21"/>
          <w:szCs w:val="21"/>
        </w:rPr>
        <w:t xml:space="preserve">  —  Options &amp; futures vs. shares, 2-week MA (Z-score)</w:t>
      </w:r>
      <w:bookmarkEnd w:id="9"/>
    </w:p>
    <w:p w14:paraId="47894179" w14:textId="28108DE0" w:rsidR="008B2E6E" w:rsidRDefault="0072021B" w:rsidP="00940AEE">
      <w:pPr>
        <w:pBdr>
          <w:bottom w:val="single" w:sz="4" w:space="8" w:color="BFBFBF"/>
        </w:pBdr>
        <w:spacing w:after="240"/>
        <w:jc w:val="center"/>
      </w:pPr>
      <w:r>
        <w:rPr>
          <w:noProof/>
        </w:rPr>
        <w:drawing>
          <wp:inline distT="0" distB="0" distL="0" distR="0" wp14:anchorId="6CB89BA0" wp14:editId="01374A4F">
            <wp:extent cx="5760720" cy="3431671"/>
            <wp:effectExtent l="0" t="0" r="0" b="0"/>
            <wp:docPr id="1539263381" name="Picture 1539263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0720" cy="3431671"/>
                    </a:xfrm>
                    <a:prstGeom prst="rect">
                      <a:avLst/>
                    </a:prstGeom>
                  </pic:spPr>
                </pic:pic>
              </a:graphicData>
            </a:graphic>
          </wp:inline>
        </w:drawing>
      </w:r>
    </w:p>
    <w:sectPr w:rsidR="008B2E6E">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95018" w14:textId="77777777" w:rsidR="00133414" w:rsidRDefault="00133414">
      <w:r>
        <w:separator/>
      </w:r>
    </w:p>
  </w:endnote>
  <w:endnote w:type="continuationSeparator" w:id="0">
    <w:p w14:paraId="3DFFC69D" w14:textId="77777777" w:rsidR="00133414" w:rsidRDefault="001334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DE473" w14:textId="77777777" w:rsidR="008B2E6E" w:rsidRDefault="0072021B">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6056DB">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6056DB">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6EF53" w14:textId="77777777" w:rsidR="00133414" w:rsidRDefault="00133414">
      <w:r>
        <w:separator/>
      </w:r>
    </w:p>
  </w:footnote>
  <w:footnote w:type="continuationSeparator" w:id="0">
    <w:p w14:paraId="4539DD35" w14:textId="77777777" w:rsidR="00133414" w:rsidRDefault="001334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0AD24" w14:textId="77777777" w:rsidR="008B2E6E" w:rsidRDefault="0072021B">
    <w:pPr>
      <w:pBdr>
        <w:bottom w:val="single" w:sz="4" w:space="4" w:color="BFBFBF"/>
      </w:pBdr>
      <w:jc w:val="right"/>
    </w:pPr>
    <w:r>
      <w:rPr>
        <w:i/>
        <w:iCs/>
        <w:color w:val="595959"/>
        <w:sz w:val="16"/>
        <w:szCs w:val="16"/>
      </w:rPr>
      <w:t>Liquidity Watch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A26907"/>
    <w:multiLevelType w:val="hybridMultilevel"/>
    <w:tmpl w:val="E920F994"/>
    <w:lvl w:ilvl="0" w:tplc="54C2F480">
      <w:start w:val="1"/>
      <w:numFmt w:val="bullet"/>
      <w:lvlText w:val="●"/>
      <w:lvlJc w:val="left"/>
      <w:pPr>
        <w:ind w:left="720" w:hanging="360"/>
      </w:pPr>
    </w:lvl>
    <w:lvl w:ilvl="1" w:tplc="98EC1ADE">
      <w:start w:val="1"/>
      <w:numFmt w:val="bullet"/>
      <w:lvlText w:val="○"/>
      <w:lvlJc w:val="left"/>
      <w:pPr>
        <w:ind w:left="1440" w:hanging="360"/>
      </w:pPr>
    </w:lvl>
    <w:lvl w:ilvl="2" w:tplc="1E8C2FD0">
      <w:start w:val="1"/>
      <w:numFmt w:val="bullet"/>
      <w:lvlText w:val="■"/>
      <w:lvlJc w:val="left"/>
      <w:pPr>
        <w:ind w:left="2160" w:hanging="360"/>
      </w:pPr>
    </w:lvl>
    <w:lvl w:ilvl="3" w:tplc="CF8A5E62">
      <w:start w:val="1"/>
      <w:numFmt w:val="bullet"/>
      <w:lvlText w:val="●"/>
      <w:lvlJc w:val="left"/>
      <w:pPr>
        <w:ind w:left="2880" w:hanging="360"/>
      </w:pPr>
    </w:lvl>
    <w:lvl w:ilvl="4" w:tplc="3A7CFD72">
      <w:start w:val="1"/>
      <w:numFmt w:val="bullet"/>
      <w:lvlText w:val="○"/>
      <w:lvlJc w:val="left"/>
      <w:pPr>
        <w:ind w:left="3600" w:hanging="360"/>
      </w:pPr>
    </w:lvl>
    <w:lvl w:ilvl="5" w:tplc="BADC38EE">
      <w:start w:val="1"/>
      <w:numFmt w:val="bullet"/>
      <w:lvlText w:val="■"/>
      <w:lvlJc w:val="left"/>
      <w:pPr>
        <w:ind w:left="4320" w:hanging="360"/>
      </w:pPr>
    </w:lvl>
    <w:lvl w:ilvl="6" w:tplc="62F26CB0">
      <w:start w:val="1"/>
      <w:numFmt w:val="bullet"/>
      <w:lvlText w:val="●"/>
      <w:lvlJc w:val="left"/>
      <w:pPr>
        <w:ind w:left="5040" w:hanging="360"/>
      </w:pPr>
    </w:lvl>
    <w:lvl w:ilvl="7" w:tplc="092ACC2E">
      <w:start w:val="1"/>
      <w:numFmt w:val="bullet"/>
      <w:lvlText w:val="●"/>
      <w:lvlJc w:val="left"/>
      <w:pPr>
        <w:ind w:left="5760" w:hanging="360"/>
      </w:pPr>
    </w:lvl>
    <w:lvl w:ilvl="8" w:tplc="9578A860">
      <w:start w:val="1"/>
      <w:numFmt w:val="bullet"/>
      <w:lvlText w:val="●"/>
      <w:lvlJc w:val="left"/>
      <w:pPr>
        <w:ind w:left="6480" w:hanging="360"/>
      </w:pPr>
    </w:lvl>
  </w:abstractNum>
  <w:num w:numId="1" w16cid:durableId="270704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2E6E"/>
    <w:rsid w:val="000F03AD"/>
    <w:rsid w:val="000F1AE3"/>
    <w:rsid w:val="00131BB7"/>
    <w:rsid w:val="00133414"/>
    <w:rsid w:val="00166737"/>
    <w:rsid w:val="00273736"/>
    <w:rsid w:val="002828C7"/>
    <w:rsid w:val="0047063C"/>
    <w:rsid w:val="004C2AE9"/>
    <w:rsid w:val="006056DB"/>
    <w:rsid w:val="00642906"/>
    <w:rsid w:val="006F7F24"/>
    <w:rsid w:val="0072021B"/>
    <w:rsid w:val="008B2E6E"/>
    <w:rsid w:val="00940AEE"/>
    <w:rsid w:val="009822E3"/>
    <w:rsid w:val="00B07A95"/>
    <w:rsid w:val="00BB35A4"/>
    <w:rsid w:val="00C744A5"/>
    <w:rsid w:val="00D764FC"/>
    <w:rsid w:val="00DF1D9C"/>
    <w:rsid w:val="00EB0B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8E561"/>
  <w15:docId w15:val="{F1F69962-AF17-4702-86CC-4C5893738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94</TotalTime>
  <Pages>8</Pages>
  <Words>1076</Words>
  <Characters>6138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Josh Smith (J.Smith5.23)</cp:lastModifiedBy>
  <cp:revision>6</cp:revision>
  <dcterms:created xsi:type="dcterms:W3CDTF">2026-09-06T16:11:00Z</dcterms:created>
  <dcterms:modified xsi:type="dcterms:W3CDTF">2026-09-13T18:25:00Z</dcterms:modified>
</cp:coreProperties>
</file>