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0926A" w14:textId="1C102702" w:rsidR="00EF4C9C" w:rsidRDefault="00EF4C9C" w:rsidP="00CB6058">
      <w:pPr>
        <w:pStyle w:val="Heading1"/>
        <w:rPr>
          <w:lang w:val="en-US"/>
        </w:rPr>
      </w:pPr>
      <w:r>
        <w:rPr>
          <w:lang w:val="en-US"/>
        </w:rPr>
        <w:t>Atmospheric deposition</w:t>
      </w:r>
    </w:p>
    <w:p w14:paraId="32B541AF" w14:textId="07579FDE" w:rsidR="00EF4C9C" w:rsidRDefault="00EF4C9C" w:rsidP="00EF4C9C">
      <w:pPr>
        <w:rPr>
          <w:lang w:val="en-US"/>
        </w:rPr>
      </w:pPr>
    </w:p>
    <w:p w14:paraId="6148F3E6" w14:textId="7E2E772D" w:rsidR="00EF4C9C" w:rsidRDefault="00EF4C9C" w:rsidP="00EF4C9C">
      <w:pPr>
        <w:rPr>
          <w:lang w:val="en-US"/>
        </w:rPr>
      </w:pPr>
      <w:r>
        <w:rPr>
          <w:lang w:val="en-US"/>
        </w:rPr>
        <w:t>Atmospheric deposition was only calculated for nitrogen, while phosphorus dust deposition was assumed negligible. Data for wet and dry deposition was collated from EMEP for the period 2000-2017. For the remaining years (i;1987-1999), atmospheric N deposition was scaled according to total annual ammonia emissions and using the year 2000 as baseline.</w:t>
      </w:r>
    </w:p>
    <w:p w14:paraId="0FB56828" w14:textId="72DDA8B7" w:rsidR="00EF4C9C" w:rsidRDefault="00280D37" w:rsidP="00EF4C9C">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2000</m:t>
              </m:r>
            </m:sub>
          </m:sSub>
          <m:r>
            <w:rPr>
              <w:rFonts w:ascii="Cambria Math" w:hAnsi="Cambria Math"/>
              <w:lang w:val="en-US"/>
            </w:rPr>
            <m:t>*To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i</m:t>
              </m:r>
            </m:sub>
          </m:sSub>
          <m:r>
            <w:rPr>
              <w:rFonts w:ascii="Cambria Math" w:hAnsi="Cambria Math"/>
              <w:lang w:val="en-US"/>
            </w:rPr>
            <m:t xml:space="preserve"> /To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2000</m:t>
              </m:r>
            </m:sub>
          </m:sSub>
          <m:r>
            <w:rPr>
              <w:rFonts w:ascii="Cambria Math" w:hAnsi="Cambria Math"/>
              <w:lang w:val="en-US"/>
            </w:rPr>
            <m:t xml:space="preserve"> </m:t>
          </m:r>
        </m:oMath>
      </m:oMathPara>
    </w:p>
    <w:p w14:paraId="0F9DC2B9" w14:textId="2C1D7A17" w:rsidR="00EF4C9C" w:rsidRDefault="00EF4C9C" w:rsidP="00EF4C9C">
      <w:pPr>
        <w:rPr>
          <w:lang w:val="en-US"/>
        </w:rPr>
      </w:pPr>
      <w:r>
        <w:rPr>
          <w:lang w:val="en-US"/>
        </w:rPr>
        <w:t xml:space="preserve">Atmospheric N deposition was calculated separately for the </w:t>
      </w:r>
      <w:proofErr w:type="spellStart"/>
      <w:r>
        <w:rPr>
          <w:lang w:val="en-US"/>
        </w:rPr>
        <w:t>the</w:t>
      </w:r>
      <w:proofErr w:type="spellEnd"/>
      <w:r>
        <w:rPr>
          <w:lang w:val="en-US"/>
        </w:rPr>
        <w:t xml:space="preserve"> different </w:t>
      </w:r>
      <w:proofErr w:type="spellStart"/>
      <w:r>
        <w:rPr>
          <w:lang w:val="en-US"/>
        </w:rPr>
        <w:t>fertiliser</w:t>
      </w:r>
      <w:proofErr w:type="spellEnd"/>
      <w:r>
        <w:rPr>
          <w:lang w:val="en-US"/>
        </w:rPr>
        <w:t xml:space="preserve"> allocation mechanisms implemented (i.e., with or without manure surplus and the two different approaches employed; </w:t>
      </w:r>
      <w:r w:rsidRPr="00EF4C9C">
        <w:rPr>
          <w:b/>
          <w:bCs/>
          <w:lang w:val="en-US"/>
        </w:rPr>
        <w:t>currently only method 1 is implemented</w:t>
      </w:r>
      <w:r>
        <w:rPr>
          <w:lang w:val="en-US"/>
        </w:rPr>
        <w:t>), as these heavily influence total ammonia emissions.</w:t>
      </w:r>
    </w:p>
    <w:p w14:paraId="01E18E04" w14:textId="59EED445" w:rsidR="007A211B" w:rsidRDefault="007A211B" w:rsidP="00EF4C9C">
      <w:pPr>
        <w:rPr>
          <w:lang w:val="en-US"/>
        </w:rPr>
      </w:pPr>
    </w:p>
    <w:p w14:paraId="3A5233B5" w14:textId="04B5F6EB" w:rsidR="007A211B" w:rsidRDefault="007A211B" w:rsidP="007A211B">
      <w:pPr>
        <w:pStyle w:val="Heading1"/>
        <w:rPr>
          <w:lang w:val="en-US"/>
        </w:rPr>
      </w:pPr>
      <w:r>
        <w:rPr>
          <w:lang w:val="en-US"/>
        </w:rPr>
        <w:t>Fodder production</w:t>
      </w:r>
    </w:p>
    <w:p w14:paraId="53CE48FF" w14:textId="77F1160A" w:rsidR="007A211B" w:rsidRDefault="00E2026A" w:rsidP="00E2026A">
      <w:pPr>
        <w:pStyle w:val="Heading3"/>
      </w:pPr>
      <w:r>
        <w:t>Getting other animal population for sheep and goat</w:t>
      </w:r>
    </w:p>
    <w:p w14:paraId="76E78387" w14:textId="09B92427" w:rsidR="00E2026A" w:rsidRDefault="00E2026A" w:rsidP="00E2026A">
      <w:pPr>
        <w:rPr>
          <w:lang w:val="en-US"/>
        </w:rPr>
      </w:pPr>
    </w:p>
    <w:p w14:paraId="1EACA916" w14:textId="6598A047" w:rsidR="00E2026A" w:rsidRDefault="00E2026A" w:rsidP="00E2026A">
      <w:pPr>
        <w:rPr>
          <w:lang w:val="en-US"/>
        </w:rPr>
      </w:pPr>
      <w:r>
        <w:rPr>
          <w:lang w:val="en-US"/>
        </w:rPr>
        <w:t xml:space="preserve">The remaining sub-modules calculate sheep and goat nutrient flows based on the total population as the N excretion already includes for younglings and the N excretion rate is the same for these categories. </w:t>
      </w:r>
      <w:proofErr w:type="gramStart"/>
      <w:r>
        <w:rPr>
          <w:lang w:val="en-US"/>
        </w:rPr>
        <w:t>In order to</w:t>
      </w:r>
      <w:proofErr w:type="gramEnd"/>
      <w:r>
        <w:rPr>
          <w:lang w:val="en-US"/>
        </w:rPr>
        <w:t xml:space="preserve"> properly calculate the energy requirement for growth and lactation, these populations were disaggregated according to Statistics Portugal data. Data was collected at the agrarian region level. Fractions of these subclasses’ populations were calculated at this spatial resolution and “downscaled” to the municipality scale, followed by its computation based on downscaled-and-interpolated total animal populations at the municipality scale.</w:t>
      </w:r>
    </w:p>
    <w:p w14:paraId="2B49B66F" w14:textId="2269C822" w:rsidR="00042A99" w:rsidRDefault="00042A99" w:rsidP="00E2026A">
      <w:pPr>
        <w:rPr>
          <w:lang w:val="en-US"/>
        </w:rPr>
      </w:pPr>
      <w:r>
        <w:rPr>
          <w:lang w:val="en-US"/>
        </w:rPr>
        <w:t xml:space="preserve">Similarly, sheep and goat milk production were collated from Statistics Portugal. The same procedure was used as in dairy </w:t>
      </w:r>
      <w:proofErr w:type="gramStart"/>
      <w:r>
        <w:rPr>
          <w:lang w:val="en-US"/>
        </w:rPr>
        <w:t>cows’</w:t>
      </w:r>
      <w:proofErr w:type="gramEnd"/>
      <w:r>
        <w:rPr>
          <w:lang w:val="en-US"/>
        </w:rPr>
        <w:t>.</w:t>
      </w:r>
    </w:p>
    <w:p w14:paraId="4F2F78D9" w14:textId="74F7B952" w:rsidR="00145ABA" w:rsidRDefault="00145ABA" w:rsidP="00E2026A">
      <w:pPr>
        <w:rPr>
          <w:lang w:val="en-US"/>
        </w:rPr>
      </w:pPr>
      <w:r w:rsidRPr="00E040BB">
        <w:rPr>
          <w:highlight w:val="yellow"/>
          <w:lang w:val="en-US"/>
        </w:rPr>
        <w:t>Because goat population data does not account for milking goats, it was assumed that 10% of the goats (</w:t>
      </w:r>
      <w:proofErr w:type="spellStart"/>
      <w:r w:rsidRPr="00E040BB">
        <w:rPr>
          <w:highlight w:val="yellow"/>
          <w:lang w:val="en-US"/>
        </w:rPr>
        <w:t>var_id</w:t>
      </w:r>
      <w:proofErr w:type="spellEnd"/>
      <w:r w:rsidRPr="00E040BB">
        <w:rPr>
          <w:highlight w:val="yellow"/>
          <w:lang w:val="en-US"/>
        </w:rPr>
        <w:t xml:space="preserve"> = ‘11’) are lactating.</w:t>
      </w:r>
      <w:r w:rsidR="004C2CF0" w:rsidRPr="00E040BB">
        <w:rPr>
          <w:highlight w:val="yellow"/>
          <w:lang w:val="en-US"/>
        </w:rPr>
        <w:t xml:space="preserve"> When interpolating milk produced per head, a minimum of 500 milk head</w:t>
      </w:r>
      <w:r w:rsidR="00E45ABF" w:rsidRPr="00E040BB">
        <w:rPr>
          <w:highlight w:val="yellow"/>
          <w:vertAlign w:val="superscript"/>
          <w:lang w:val="en-US"/>
        </w:rPr>
        <w:t>-1</w:t>
      </w:r>
      <w:r w:rsidR="004C2CF0" w:rsidRPr="00E040BB">
        <w:rPr>
          <w:highlight w:val="yellow"/>
          <w:lang w:val="en-US"/>
        </w:rPr>
        <w:t xml:space="preserve"> was assumed. </w:t>
      </w:r>
      <w:r w:rsidR="008145F5" w:rsidRPr="00E040BB">
        <w:rPr>
          <w:highlight w:val="yellow"/>
          <w:lang w:val="en-US"/>
        </w:rPr>
        <w:t>Furthermore, for wool production, it was assumed that 5% of each Sheep subclass are younglings and do not produce wool.</w:t>
      </w:r>
    </w:p>
    <w:p w14:paraId="5876CC61" w14:textId="325C9DCE" w:rsidR="00F55D0C" w:rsidRDefault="009F03CA" w:rsidP="008D6AC3">
      <w:pPr>
        <w:pStyle w:val="Heading3"/>
      </w:pPr>
      <w:r>
        <w:t>Nitrogen</w:t>
      </w:r>
      <w:r w:rsidR="00AB281F">
        <w:t xml:space="preserve"> feed intake</w:t>
      </w:r>
    </w:p>
    <w:p w14:paraId="499AFB74" w14:textId="2554A63A" w:rsidR="00AB281F" w:rsidRDefault="00AB281F" w:rsidP="00AB281F">
      <w:pPr>
        <w:rPr>
          <w:lang w:val="en-US"/>
        </w:rPr>
      </w:pPr>
    </w:p>
    <w:p w14:paraId="3B79C2A8" w14:textId="4200DF48" w:rsidR="00D63B5D" w:rsidRDefault="00D63B5D" w:rsidP="00AB281F">
      <w:pPr>
        <w:rPr>
          <w:lang w:val="en-US"/>
        </w:rPr>
      </w:pPr>
      <w:r>
        <w:rPr>
          <w:lang w:val="en-US"/>
        </w:rPr>
        <w:t xml:space="preserve">Nitrogen feed intake here is estimated as the sum of the N retention and N excretion. Total N excreted per the different animals was calculated in the manure module; the N retained in the body was estimated according to the GLEAMS model for the three different main classes: ruminants (large and small; dairy and non-dairy), pigs and poultry. </w:t>
      </w:r>
    </w:p>
    <w:p w14:paraId="368295C3" w14:textId="0C8E4F66" w:rsidR="00503CB9" w:rsidRDefault="00503CB9" w:rsidP="00AB281F">
      <w:pPr>
        <w:rPr>
          <w:lang w:val="en-US"/>
        </w:rPr>
      </w:pPr>
      <w:r>
        <w:rPr>
          <w:lang w:val="en-US"/>
        </w:rPr>
        <w:lastRenderedPageBreak/>
        <w:t xml:space="preserve">For large ruminants, GLEAMS </w:t>
      </w:r>
      <w:proofErr w:type="gramStart"/>
      <w:r>
        <w:rPr>
          <w:lang w:val="en-US"/>
        </w:rPr>
        <w:t>distinguishes</w:t>
      </w:r>
      <w:proofErr w:type="gramEnd"/>
      <w:r>
        <w:rPr>
          <w:lang w:val="en-US"/>
        </w:rPr>
        <w:t xml:space="preserve"> three different cohorts: adult females (dairy cows), adult males (&gt;2 years and </w:t>
      </w:r>
      <w:proofErr w:type="spellStart"/>
      <w:r>
        <w:rPr>
          <w:lang w:val="en-US"/>
        </w:rPr>
        <w:t>Non_dairy</w:t>
      </w:r>
      <w:proofErr w:type="spellEnd"/>
      <w:r>
        <w:rPr>
          <w:lang w:val="en-US"/>
        </w:rPr>
        <w:t>) and the remaining.</w:t>
      </w:r>
      <w:r w:rsidR="00E017A7">
        <w:rPr>
          <w:lang w:val="en-US"/>
        </w:rPr>
        <w:t xml:space="preserve"> For dairy animals, N retention (kg N head</w:t>
      </w:r>
      <w:r w:rsidR="00E017A7">
        <w:rPr>
          <w:vertAlign w:val="superscript"/>
          <w:lang w:val="en-US"/>
        </w:rPr>
        <w:t>-1</w:t>
      </w:r>
      <w:r w:rsidR="00E017A7">
        <w:rPr>
          <w:lang w:val="en-US"/>
        </w:rPr>
        <w:t xml:space="preserve"> yr</w:t>
      </w:r>
      <w:r w:rsidR="00E017A7">
        <w:rPr>
          <w:vertAlign w:val="superscript"/>
          <w:lang w:val="en-US"/>
        </w:rPr>
        <w:t>-1</w:t>
      </w:r>
      <w:r w:rsidR="00E017A7">
        <w:rPr>
          <w:lang w:val="en-US"/>
        </w:rPr>
        <w:t>) was calculated as follows:</w:t>
      </w:r>
    </w:p>
    <w:p w14:paraId="4F2A8C5F" w14:textId="2B28980F" w:rsidR="00E017A7" w:rsidRPr="00E017A7" w:rsidRDefault="00E017A7" w:rsidP="00AB28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   dairy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Milk x</m:t>
              </m:r>
              <m:f>
                <m:fPr>
                  <m:ctrlPr>
                    <w:rPr>
                      <w:rFonts w:ascii="Cambria Math" w:hAnsi="Cambria Math"/>
                      <w:i/>
                      <w:lang w:val="en-US"/>
                    </w:rPr>
                  </m:ctrlPr>
                </m:fPr>
                <m:num>
                  <m:r>
                    <w:rPr>
                      <w:rFonts w:ascii="Cambria Math" w:hAnsi="Cambria Math"/>
                      <w:lang w:val="en-US"/>
                    </w:rPr>
                    <m:t>Mil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prot</m:t>
                      </m:r>
                    </m:sub>
                  </m:sSub>
                </m:num>
                <m:den>
                  <m:r>
                    <w:rPr>
                      <w:rFonts w:ascii="Cambria Math" w:hAnsi="Cambria Math"/>
                      <w:lang w:val="en-US"/>
                    </w:rPr>
                    <m:t>6.38</m:t>
                  </m:r>
                </m:den>
              </m:f>
            </m:e>
          </m:d>
          <m:r>
            <w:rPr>
              <w:rFonts w:ascii="Cambria Math"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kg</m:t>
                      </m:r>
                    </m:sub>
                  </m:sSub>
                </m:num>
                <m:den>
                  <m:r>
                    <w:rPr>
                      <w:rFonts w:ascii="Cambria Math" w:eastAsiaTheme="minorEastAsia" w:hAnsi="Cambria Math"/>
                      <w:lang w:val="en-US"/>
                    </w:rPr>
                    <m:t>365</m:t>
                  </m:r>
                </m:den>
              </m:f>
              <m:r>
                <w:rPr>
                  <w:rFonts w:ascii="Cambria Math" w:eastAsiaTheme="minorEastAsia" w:hAnsi="Cambria Math"/>
                  <w:lang w:val="en-US"/>
                </w:rPr>
                <m:t xml:space="preserve"> x (268-(7.03 x</m:t>
              </m:r>
              <m:f>
                <m:fPr>
                  <m:ctrlPr>
                    <w:rPr>
                      <w:rFonts w:ascii="Cambria Math" w:eastAsiaTheme="minorEastAsia" w:hAnsi="Cambria Math"/>
                      <w:i/>
                      <w:lang w:val="en-US"/>
                    </w:rPr>
                  </m:ctrlPr>
                </m:fPr>
                <m:num>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gro,  rf</m:t>
                      </m:r>
                    </m:sub>
                  </m:sSub>
                </m:num>
                <m:den>
                  <m:r>
                    <w:rPr>
                      <w:rFonts w:ascii="Cambria Math" w:eastAsiaTheme="minorEastAsia" w:hAnsi="Cambria Math"/>
                      <w:lang w:val="en-US"/>
                    </w:rPr>
                    <m:t>DW</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rf</m:t>
                      </m:r>
                    </m:sub>
                  </m:sSub>
                </m:den>
              </m:f>
              <m:r>
                <w:rPr>
                  <w:rFonts w:ascii="Cambria Math" w:eastAsiaTheme="minorEastAsia" w:hAnsi="Cambria Math"/>
                  <w:lang w:val="en-US"/>
                </w:rPr>
                <m:t>)</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0.001</m:t>
              </m:r>
            </m:num>
            <m:den>
              <m:r>
                <w:rPr>
                  <w:rFonts w:ascii="Cambria Math" w:eastAsiaTheme="minorEastAsia" w:hAnsi="Cambria Math"/>
                  <w:lang w:val="en-US"/>
                </w:rPr>
                <m:t>6.25</m:t>
              </m:r>
            </m:den>
          </m:f>
          <m:r>
            <w:rPr>
              <w:rFonts w:ascii="Cambria Math" w:eastAsiaTheme="minorEastAsia" w:hAnsi="Cambria Math"/>
              <w:lang w:val="en-US"/>
            </w:rPr>
            <m:t>) x 365</m:t>
          </m:r>
          <m:r>
            <w:rPr>
              <w:rFonts w:ascii="Cambria Math" w:eastAsiaTheme="minorEastAsia" w:hAnsi="Cambria Math"/>
              <w:lang w:val="en-US"/>
            </w:rPr>
            <m:t>,</m:t>
          </m:r>
          <m:r>
            <w:rPr>
              <w:rFonts w:ascii="Cambria Math" w:eastAsiaTheme="minorEastAsia" w:hAnsi="Cambria Math"/>
              <w:lang w:val="en-US"/>
            </w:rPr>
            <m:t xml:space="preserve"> </m:t>
          </m:r>
        </m:oMath>
      </m:oMathPara>
    </w:p>
    <w:p w14:paraId="5076A36E" w14:textId="6C1FE691" w:rsidR="00E017A7" w:rsidRDefault="00342902" w:rsidP="00AB281F">
      <w:pPr>
        <w:rPr>
          <w:rFonts w:eastAsiaTheme="minorEastAsia"/>
          <w:lang w:val="en-US"/>
        </w:rPr>
      </w:pPr>
      <w:r>
        <w:rPr>
          <w:rFonts w:eastAsiaTheme="minorEastAsia"/>
          <w:lang w:val="en-US"/>
        </w:rPr>
        <w:t>w</w:t>
      </w:r>
      <w:r w:rsidR="00E017A7">
        <w:rPr>
          <w:rFonts w:eastAsiaTheme="minorEastAsia"/>
          <w:lang w:val="en-US"/>
        </w:rPr>
        <w:t>here:</w:t>
      </w:r>
    </w:p>
    <w:p w14:paraId="2C56F8FE" w14:textId="0E0DC7A8" w:rsidR="00E017A7" w:rsidRPr="00E017A7" w:rsidRDefault="00E017A7" w:rsidP="00AB281F">
      <w:pPr>
        <w:rPr>
          <w:rFonts w:eastAsiaTheme="minorEastAsia"/>
          <w:lang w:val="en-US"/>
        </w:rPr>
      </w:pPr>
      <w:r>
        <w:rPr>
          <w:rFonts w:eastAsiaTheme="minorEastAsia"/>
          <w:lang w:val="en-US"/>
        </w:rPr>
        <w:t xml:space="preserve">Milk – Daily milk production (kg milk </w:t>
      </w:r>
      <w:r>
        <w:rPr>
          <w:lang w:val="en-US"/>
        </w:rPr>
        <w:t>head</w:t>
      </w:r>
      <w:r>
        <w:rPr>
          <w:vertAlign w:val="superscript"/>
          <w:lang w:val="en-US"/>
        </w:rPr>
        <w:t>-1</w:t>
      </w:r>
      <w:r>
        <w:rPr>
          <w:lang w:val="en-US"/>
        </w:rPr>
        <w:t xml:space="preserve"> </w:t>
      </w:r>
      <w:r>
        <w:rPr>
          <w:lang w:val="en-US"/>
        </w:rPr>
        <w:t>day</w:t>
      </w:r>
      <w:r>
        <w:rPr>
          <w:vertAlign w:val="superscript"/>
          <w:lang w:val="en-US"/>
        </w:rPr>
        <w:t>-1</w:t>
      </w:r>
      <w:r>
        <w:rPr>
          <w:lang w:val="en-US"/>
        </w:rPr>
        <w:t>)</w:t>
      </w:r>
    </w:p>
    <w:p w14:paraId="0F1C4B6D" w14:textId="48F1FCFF" w:rsidR="00503CB9" w:rsidRDefault="00E017A7" w:rsidP="00AB281F">
      <w:pPr>
        <w:rPr>
          <w:lang w:val="en-US"/>
        </w:rPr>
      </w:pPr>
      <w:proofErr w:type="spellStart"/>
      <w:r>
        <w:rPr>
          <w:lang w:val="en-US"/>
        </w:rPr>
        <w:t>Milk</w:t>
      </w:r>
      <w:r>
        <w:rPr>
          <w:vertAlign w:val="subscript"/>
          <w:lang w:val="en-US"/>
        </w:rPr>
        <w:t>prot</w:t>
      </w:r>
      <w:proofErr w:type="spellEnd"/>
      <w:r>
        <w:rPr>
          <w:lang w:val="en-US"/>
        </w:rPr>
        <w:t xml:space="preserve"> – the protein content of the milk </w:t>
      </w:r>
      <w:proofErr w:type="gramStart"/>
      <w:r>
        <w:rPr>
          <w:lang w:val="en-US"/>
        </w:rPr>
        <w:t>( protein</w:t>
      </w:r>
      <w:proofErr w:type="gramEnd"/>
      <w:r>
        <w:rPr>
          <w:lang w:val="en-US"/>
        </w:rPr>
        <w:t>/100)</w:t>
      </w:r>
    </w:p>
    <w:p w14:paraId="59252605" w14:textId="6A4613BF" w:rsidR="00E017A7" w:rsidRPr="00E017A7" w:rsidRDefault="00E017A7" w:rsidP="00AB281F">
      <w:pPr>
        <w:rPr>
          <w:rFonts w:eastAsiaTheme="minorEastAsia"/>
          <w:lang w:val="en-US"/>
        </w:rPr>
      </w:pPr>
      <w:proofErr w:type="spellStart"/>
      <w:r>
        <w:rPr>
          <w:lang w:val="en-US"/>
        </w:rPr>
        <w:t>C</w:t>
      </w:r>
      <w:r>
        <w:rPr>
          <w:vertAlign w:val="subscript"/>
          <w:lang w:val="en-US"/>
        </w:rPr>
        <w:t>kg</w:t>
      </w:r>
      <w:proofErr w:type="spellEnd"/>
      <w:r>
        <w:rPr>
          <w:lang w:val="en-US"/>
        </w:rPr>
        <w:t xml:space="preserve"> – younglings’ weight (calves, </w:t>
      </w:r>
      <w:proofErr w:type="gramStart"/>
      <w:r>
        <w:rPr>
          <w:lang w:val="en-US"/>
        </w:rPr>
        <w:t>goat</w:t>
      </w:r>
      <w:proofErr w:type="gramEnd"/>
      <w:r>
        <w:rPr>
          <w:lang w:val="en-US"/>
        </w:rPr>
        <w:t xml:space="preserve"> and lamb kids) (kg </w:t>
      </w:r>
      <w:r>
        <w:rPr>
          <w:lang w:val="en-US"/>
        </w:rPr>
        <w:t>head</w:t>
      </w:r>
      <w:r>
        <w:rPr>
          <w:vertAlign w:val="superscript"/>
          <w:lang w:val="en-US"/>
        </w:rPr>
        <w:t>-1</w:t>
      </w:r>
      <w:r>
        <w:rPr>
          <w:lang w:val="en-US"/>
        </w:rPr>
        <w:t xml:space="preserve"> day</w:t>
      </w:r>
      <w:r>
        <w:rPr>
          <w:vertAlign w:val="superscript"/>
          <w:lang w:val="en-US"/>
        </w:rPr>
        <w:t>-1</w:t>
      </w:r>
      <w:r>
        <w:rPr>
          <w:lang w:val="en-US"/>
        </w:rPr>
        <w:t>)</w:t>
      </w:r>
    </w:p>
    <w:p w14:paraId="6DAA6A88" w14:textId="6EE27AB0" w:rsidR="00E017A7" w:rsidRPr="00E017A7" w:rsidRDefault="00E017A7" w:rsidP="00AB281F">
      <w:pPr>
        <w:rPr>
          <w:rFonts w:eastAsiaTheme="minorEastAsia"/>
          <w:lang w:val="en-US"/>
        </w:rPr>
      </w:pPr>
      <w:proofErr w:type="spellStart"/>
      <w:r>
        <w:rPr>
          <w:lang w:val="en-US"/>
        </w:rPr>
        <w:t>NE</w:t>
      </w:r>
      <w:r>
        <w:rPr>
          <w:vertAlign w:val="subscript"/>
          <w:lang w:val="en-US"/>
        </w:rPr>
        <w:t>gro</w:t>
      </w:r>
      <w:proofErr w:type="spellEnd"/>
      <w:r>
        <w:rPr>
          <w:lang w:val="en-US"/>
        </w:rPr>
        <w:t xml:space="preserve"> – the net energy for growth of replacement animals (i.e., </w:t>
      </w:r>
      <w:proofErr w:type="gramStart"/>
      <w:r>
        <w:rPr>
          <w:lang w:val="en-US"/>
        </w:rPr>
        <w:t>calves</w:t>
      </w:r>
      <w:r>
        <w:rPr>
          <w:lang w:val="en-US"/>
        </w:rPr>
        <w:t xml:space="preserve"> </w:t>
      </w:r>
      <w:r>
        <w:rPr>
          <w:lang w:val="en-US"/>
        </w:rPr>
        <w:t>,</w:t>
      </w:r>
      <w:proofErr w:type="gramEnd"/>
      <w:r>
        <w:rPr>
          <w:lang w:val="en-US"/>
        </w:rPr>
        <w:t xml:space="preserve"> goat and lamb kids</w:t>
      </w:r>
      <w:r>
        <w:rPr>
          <w:lang w:val="en-US"/>
        </w:rPr>
        <w:t>) (</w:t>
      </w:r>
      <w:proofErr w:type="spellStart"/>
      <w:r>
        <w:rPr>
          <w:lang w:val="en-US"/>
        </w:rPr>
        <w:t>Mj</w:t>
      </w:r>
      <w:proofErr w:type="spellEnd"/>
      <w:r>
        <w:rPr>
          <w:lang w:val="en-US"/>
        </w:rPr>
        <w:t xml:space="preserve"> </w:t>
      </w:r>
      <w:r>
        <w:rPr>
          <w:lang w:val="en-US"/>
        </w:rPr>
        <w:t>head</w:t>
      </w:r>
      <w:r>
        <w:rPr>
          <w:vertAlign w:val="superscript"/>
          <w:lang w:val="en-US"/>
        </w:rPr>
        <w:t>-1</w:t>
      </w:r>
      <w:r>
        <w:rPr>
          <w:lang w:val="en-US"/>
        </w:rPr>
        <w:t xml:space="preserve"> day</w:t>
      </w:r>
      <w:r>
        <w:rPr>
          <w:vertAlign w:val="superscript"/>
          <w:lang w:val="en-US"/>
        </w:rPr>
        <w:t>-1</w:t>
      </w:r>
      <w:r>
        <w:rPr>
          <w:lang w:val="en-US"/>
        </w:rPr>
        <w:t>)</w:t>
      </w:r>
    </w:p>
    <w:p w14:paraId="06758722" w14:textId="77777777" w:rsidR="00E017A7" w:rsidRPr="00E017A7" w:rsidRDefault="00E017A7" w:rsidP="00E017A7">
      <w:pPr>
        <w:rPr>
          <w:rFonts w:eastAsiaTheme="minorEastAsia"/>
          <w:lang w:val="en-US"/>
        </w:rPr>
      </w:pPr>
      <w:proofErr w:type="spellStart"/>
      <w:r>
        <w:rPr>
          <w:lang w:val="en-US"/>
        </w:rPr>
        <w:t>DWG</w:t>
      </w:r>
      <w:r>
        <w:rPr>
          <w:vertAlign w:val="subscript"/>
          <w:lang w:val="en-US"/>
        </w:rPr>
        <w:t>rf</w:t>
      </w:r>
      <w:proofErr w:type="spellEnd"/>
      <w:r>
        <w:rPr>
          <w:lang w:val="en-US"/>
        </w:rPr>
        <w:t xml:space="preserve"> – daily weight gain (kg </w:t>
      </w:r>
      <w:r>
        <w:rPr>
          <w:lang w:val="en-US"/>
        </w:rPr>
        <w:t>head</w:t>
      </w:r>
      <w:r>
        <w:rPr>
          <w:vertAlign w:val="superscript"/>
          <w:lang w:val="en-US"/>
        </w:rPr>
        <w:t>-1</w:t>
      </w:r>
      <w:r>
        <w:rPr>
          <w:lang w:val="en-US"/>
        </w:rPr>
        <w:t xml:space="preserve"> day</w:t>
      </w:r>
      <w:r>
        <w:rPr>
          <w:vertAlign w:val="superscript"/>
          <w:lang w:val="en-US"/>
        </w:rPr>
        <w:t>-1</w:t>
      </w:r>
      <w:r>
        <w:rPr>
          <w:lang w:val="en-US"/>
        </w:rPr>
        <w:t>)</w:t>
      </w:r>
    </w:p>
    <w:p w14:paraId="2F3759CF" w14:textId="391D29F8" w:rsidR="00E017A7" w:rsidRDefault="00E017A7" w:rsidP="00AB281F">
      <w:pPr>
        <w:rPr>
          <w:lang w:val="en-US"/>
        </w:rPr>
      </w:pPr>
    </w:p>
    <w:p w14:paraId="3AE1EDCE" w14:textId="77777777" w:rsidR="00342902" w:rsidRDefault="00E017A7" w:rsidP="00AB281F">
      <w:pPr>
        <w:rPr>
          <w:lang w:val="en-US"/>
        </w:rPr>
      </w:pPr>
      <w:r>
        <w:rPr>
          <w:lang w:val="en-US"/>
        </w:rPr>
        <w:t>For dairy cows, the protein content was collated from Statistics Portugal for the period 2003-2017 and linearly interpolated to the remaining years</w:t>
      </w:r>
      <w:r>
        <w:rPr>
          <w:lang w:val="en-US"/>
        </w:rPr>
        <w:t xml:space="preserve">; for sheep and goat it was set to 5.4 and 3.1%, respectively. </w:t>
      </w:r>
      <w:r>
        <w:rPr>
          <w:lang w:val="en-US"/>
        </w:rPr>
        <w:t xml:space="preserve">The same procedure was applied to annual milk production for sheep and goats, though a minimum threshold of 50 and 500 kg </w:t>
      </w:r>
      <w:r>
        <w:rPr>
          <w:lang w:val="en-US"/>
        </w:rPr>
        <w:t>head</w:t>
      </w:r>
      <w:r>
        <w:rPr>
          <w:vertAlign w:val="superscript"/>
          <w:lang w:val="en-US"/>
        </w:rPr>
        <w:t>-1</w:t>
      </w:r>
      <w:r>
        <w:rPr>
          <w:lang w:val="en-US"/>
        </w:rPr>
        <w:t xml:space="preserve"> </w:t>
      </w:r>
      <w:r>
        <w:rPr>
          <w:lang w:val="en-US"/>
        </w:rPr>
        <w:t>year</w:t>
      </w:r>
      <w:r>
        <w:rPr>
          <w:vertAlign w:val="superscript"/>
          <w:lang w:val="en-US"/>
        </w:rPr>
        <w:t>-1</w:t>
      </w:r>
      <w:r>
        <w:rPr>
          <w:lang w:val="en-US"/>
        </w:rPr>
        <w:t xml:space="preserve"> was applied. The remaining parameters were collated </w:t>
      </w:r>
      <w:r w:rsidR="00B40C70">
        <w:rPr>
          <w:lang w:val="en-US"/>
        </w:rPr>
        <w:t>from the national inventory reports</w:t>
      </w:r>
      <w:r>
        <w:rPr>
          <w:lang w:val="en-US"/>
        </w:rPr>
        <w:t xml:space="preserve"> and GLEAMS. </w:t>
      </w:r>
      <w:r w:rsidR="009B513E">
        <w:rPr>
          <w:lang w:val="en-US"/>
        </w:rPr>
        <w:t xml:space="preserve">Furthermore, </w:t>
      </w:r>
      <w:proofErr w:type="spellStart"/>
      <w:r w:rsidR="009B513E">
        <w:rPr>
          <w:lang w:val="en-US"/>
        </w:rPr>
        <w:t>NE</w:t>
      </w:r>
      <w:r w:rsidR="009B513E">
        <w:rPr>
          <w:vertAlign w:val="subscript"/>
          <w:lang w:val="en-US"/>
        </w:rPr>
        <w:t>gro</w:t>
      </w:r>
      <w:proofErr w:type="spellEnd"/>
      <w:r w:rsidR="009B513E">
        <w:rPr>
          <w:vertAlign w:val="subscript"/>
          <w:lang w:val="en-US"/>
        </w:rPr>
        <w:t xml:space="preserve"> </w:t>
      </w:r>
      <w:r w:rsidR="009B513E">
        <w:rPr>
          <w:lang w:val="en-US"/>
        </w:rPr>
        <w:t>was computed also according to GLEAMS</w:t>
      </w:r>
      <w:r w:rsidR="00342902">
        <w:rPr>
          <w:lang w:val="en-US"/>
        </w:rPr>
        <w:t xml:space="preserve"> for large and small ruminants. </w:t>
      </w:r>
    </w:p>
    <w:p w14:paraId="671D52EB" w14:textId="65BA65D8" w:rsidR="00E017A7" w:rsidRDefault="00342902" w:rsidP="00AB281F">
      <w:pPr>
        <w:rPr>
          <w:lang w:val="en-US"/>
        </w:rPr>
      </w:pPr>
      <w:r>
        <w:rPr>
          <w:lang w:val="en-US"/>
        </w:rPr>
        <w:t>For large ruminants:</w:t>
      </w:r>
    </w:p>
    <w:p w14:paraId="6280A587" w14:textId="763602FA" w:rsidR="00342902" w:rsidRDefault="00342902" w:rsidP="00342902">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=22.02 x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LW</m:t>
                    </m:r>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gro</m:t>
                        </m:r>
                      </m:sub>
                    </m:sSub>
                    <m:r>
                      <w:rPr>
                        <w:rFonts w:ascii="Cambria Math" w:hAnsi="Cambria Math"/>
                        <w:lang w:val="en-US"/>
                      </w:rPr>
                      <m:t>x 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kg</m:t>
                        </m:r>
                      </m:sub>
                    </m:sSub>
                  </m:den>
                </m:f>
              </m:e>
            </m:d>
          </m:e>
          <m:sup>
            <m:r>
              <w:rPr>
                <w:rFonts w:ascii="Cambria Math" w:hAnsi="Cambria Math"/>
                <w:lang w:val="en-US"/>
              </w:rPr>
              <m:t>0.75</m:t>
            </m:r>
          </m:sup>
        </m:sSup>
        <m:r>
          <w:rPr>
            <w:rFonts w:ascii="Cambria Math" w:hAnsi="Cambria Math"/>
            <w:lang w:val="en-US"/>
          </w:rPr>
          <m:t>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1.097</m:t>
            </m:r>
          </m:sup>
        </m:sSup>
        <m:r>
          <w:rPr>
            <w:rFonts w:ascii="Cambria Math" w:hAnsi="Cambria Math"/>
            <w:lang w:val="en-US"/>
          </w:rPr>
          <m:t xml:space="preserve"> </m:t>
        </m:r>
      </m:oMath>
      <w:r>
        <w:rPr>
          <w:lang w:val="en-US"/>
        </w:rPr>
        <w:t>,</w:t>
      </w:r>
    </w:p>
    <w:p w14:paraId="6C35F921" w14:textId="4BA43946" w:rsidR="00AB281F" w:rsidRDefault="00342902" w:rsidP="00AB281F">
      <w:pPr>
        <w:rPr>
          <w:lang w:val="en-US"/>
        </w:rPr>
      </w:pPr>
      <w:r>
        <w:rPr>
          <w:lang w:val="en-US"/>
        </w:rPr>
        <w:t>where</w:t>
      </w:r>
    </w:p>
    <w:p w14:paraId="5E7FE9A3" w14:textId="4C58EEB7" w:rsidR="00342902" w:rsidRDefault="00342902" w:rsidP="00AB281F">
      <w:pPr>
        <w:rPr>
          <w:lang w:val="en-US"/>
        </w:rPr>
      </w:pPr>
      <w:r>
        <w:rPr>
          <w:lang w:val="en-US"/>
        </w:rPr>
        <w:t xml:space="preserve">LW – live weight of growing animals </w:t>
      </w:r>
      <w:r>
        <w:rPr>
          <w:lang w:val="en-US"/>
        </w:rPr>
        <w:t>(kg head</w:t>
      </w:r>
      <w:r>
        <w:rPr>
          <w:vertAlign w:val="superscript"/>
          <w:lang w:val="en-US"/>
        </w:rPr>
        <w:t>-1</w:t>
      </w:r>
      <w:r>
        <w:rPr>
          <w:lang w:val="en-US"/>
        </w:rPr>
        <w:t>)</w:t>
      </w:r>
    </w:p>
    <w:p w14:paraId="4B2D1608" w14:textId="085F7DEB" w:rsidR="00342902" w:rsidRDefault="00342902" w:rsidP="00AB281F">
      <w:pPr>
        <w:rPr>
          <w:lang w:val="en-US"/>
        </w:rPr>
      </w:pPr>
      <w:proofErr w:type="spellStart"/>
      <w:r>
        <w:rPr>
          <w:lang w:val="en-US"/>
        </w:rPr>
        <w:t>C</w:t>
      </w:r>
      <w:r>
        <w:rPr>
          <w:vertAlign w:val="subscript"/>
          <w:lang w:val="en-US"/>
        </w:rPr>
        <w:t>gro</w:t>
      </w:r>
      <w:proofErr w:type="spellEnd"/>
      <w:r>
        <w:rPr>
          <w:lang w:val="en-US"/>
        </w:rPr>
        <w:t xml:space="preserve"> – GLEAMS parameter (Table 3.27 in GLEAMS documentation)</w:t>
      </w:r>
    </w:p>
    <w:p w14:paraId="20361F75" w14:textId="4BD00E20" w:rsidR="001D620C" w:rsidRDefault="00342902" w:rsidP="007A211B">
      <w:pPr>
        <w:rPr>
          <w:lang w:val="en-US"/>
        </w:rPr>
      </w:pPr>
      <w:proofErr w:type="spellStart"/>
      <w:r>
        <w:rPr>
          <w:lang w:val="en-US"/>
        </w:rPr>
        <w:t>AF</w:t>
      </w:r>
      <w:r>
        <w:rPr>
          <w:vertAlign w:val="subscript"/>
          <w:lang w:val="en-US"/>
        </w:rPr>
        <w:t>kg</w:t>
      </w:r>
      <w:proofErr w:type="spellEnd"/>
      <w:r>
        <w:rPr>
          <w:lang w:val="en-US"/>
        </w:rPr>
        <w:t xml:space="preserve"> – live weight of an adult animal (&gt;2 years) (</w:t>
      </w:r>
      <w:r>
        <w:rPr>
          <w:lang w:val="en-US"/>
        </w:rPr>
        <w:t>kg head</w:t>
      </w:r>
      <w:r>
        <w:rPr>
          <w:vertAlign w:val="superscript"/>
          <w:lang w:val="en-US"/>
        </w:rPr>
        <w:t>-1</w:t>
      </w:r>
      <w:r>
        <w:rPr>
          <w:lang w:val="en-US"/>
        </w:rPr>
        <w:t>)</w:t>
      </w:r>
    </w:p>
    <w:p w14:paraId="6E8F5164" w14:textId="77777777" w:rsidR="008B6974" w:rsidRDefault="008B6974" w:rsidP="007A211B">
      <w:pPr>
        <w:rPr>
          <w:lang w:val="en-US"/>
        </w:rPr>
      </w:pPr>
    </w:p>
    <w:p w14:paraId="35613141" w14:textId="5AC9109E" w:rsidR="007A211B" w:rsidRDefault="00342902" w:rsidP="007A211B">
      <w:pPr>
        <w:rPr>
          <w:lang w:val="en-US"/>
        </w:rPr>
      </w:pPr>
      <w:r>
        <w:rPr>
          <w:lang w:val="en-US"/>
        </w:rPr>
        <w:t>For small ruminants:</w:t>
      </w:r>
    </w:p>
    <w:p w14:paraId="25D6D14C" w14:textId="0DF4EB1A" w:rsidR="008B6974" w:rsidRDefault="008B6974" w:rsidP="008B6974">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m:t>
        </m:r>
        <m:r>
          <w:rPr>
            <w:rFonts w:ascii="Cambria Math" w:hAnsi="Cambria Math"/>
            <w:lang w:val="en-US"/>
          </w:rPr>
          <m:t xml:space="preserve">DWG x </m:t>
        </m:r>
        <m:d>
          <m:dPr>
            <m:ctrlPr>
              <w:rPr>
                <w:rFonts w:ascii="Cambria Math" w:hAnsi="Cambria Math"/>
                <w:i/>
                <w:lang w:val="en-US"/>
              </w:rPr>
            </m:ctrlPr>
          </m:dPr>
          <m:e>
            <m:r>
              <w:rPr>
                <w:rFonts w:ascii="Cambria Math" w:hAnsi="Cambria Math"/>
                <w:lang w:val="en-US"/>
              </w:rPr>
              <m:t xml:space="preserve">a+b x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kg</m:t>
                </m:r>
              </m:sub>
            </m:sSub>
          </m:e>
        </m:d>
        <m:r>
          <w:rPr>
            <w:rFonts w:ascii="Cambria Math" w:hAnsi="Cambria Math"/>
            <w:lang w:val="en-US"/>
          </w:rPr>
          <m:t>+0.5 x b 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 xml:space="preserve"> </m:t>
        </m:r>
      </m:oMath>
      <w:r>
        <w:rPr>
          <w:lang w:val="en-US"/>
        </w:rPr>
        <w:t>,</w:t>
      </w:r>
    </w:p>
    <w:p w14:paraId="6D42C2F2" w14:textId="7CB2D135" w:rsidR="00342902" w:rsidRDefault="008B6974" w:rsidP="007A211B">
      <w:pPr>
        <w:rPr>
          <w:lang w:val="en-US"/>
        </w:rPr>
      </w:pPr>
      <w:r>
        <w:rPr>
          <w:lang w:val="en-US"/>
        </w:rPr>
        <w:t>where</w:t>
      </w:r>
    </w:p>
    <w:p w14:paraId="7310CDBF" w14:textId="7A8CC5B3" w:rsidR="008B6974" w:rsidRDefault="008B6974" w:rsidP="007A211B">
      <w:pPr>
        <w:rPr>
          <w:lang w:val="en-US"/>
        </w:rPr>
      </w:pPr>
      <w:r>
        <w:rPr>
          <w:lang w:val="en-US"/>
        </w:rPr>
        <w:t xml:space="preserve">a, </w:t>
      </w:r>
      <w:proofErr w:type="gramStart"/>
      <w:r>
        <w:rPr>
          <w:lang w:val="en-US"/>
        </w:rPr>
        <w:t>b</w:t>
      </w:r>
      <w:proofErr w:type="gramEnd"/>
      <w:r>
        <w:rPr>
          <w:lang w:val="en-US"/>
        </w:rPr>
        <w:t xml:space="preserve"> and c - GLEAMS parameters (</w:t>
      </w:r>
      <w:proofErr w:type="spellStart"/>
      <w:r>
        <w:rPr>
          <w:lang w:val="en-US"/>
        </w:rPr>
        <w:t>Tablel</w:t>
      </w:r>
      <w:proofErr w:type="spellEnd"/>
      <w:r>
        <w:rPr>
          <w:lang w:val="en-US"/>
        </w:rPr>
        <w:t xml:space="preserve"> 3.28 in GLEAMS documentation</w:t>
      </w:r>
    </w:p>
    <w:p w14:paraId="05896CED" w14:textId="55D98DE1" w:rsidR="008B6974" w:rsidRPr="008B6974" w:rsidRDefault="008B6974" w:rsidP="007A211B">
      <w:pPr>
        <w:rPr>
          <w:lang w:val="en-US"/>
        </w:rPr>
      </w:pPr>
      <w:proofErr w:type="spellStart"/>
      <w:r>
        <w:rPr>
          <w:lang w:val="en-US"/>
        </w:rPr>
        <w:lastRenderedPageBreak/>
        <w:t>C</w:t>
      </w:r>
      <w:r>
        <w:rPr>
          <w:vertAlign w:val="subscript"/>
          <w:lang w:val="en-US"/>
        </w:rPr>
        <w:t>kg</w:t>
      </w:r>
      <w:proofErr w:type="spellEnd"/>
      <w:r>
        <w:rPr>
          <w:lang w:val="en-US"/>
        </w:rPr>
        <w:t xml:space="preserve"> – weight of lambs/kids at birth </w:t>
      </w:r>
      <w:r>
        <w:rPr>
          <w:lang w:val="en-US"/>
        </w:rPr>
        <w:t>(kg head</w:t>
      </w:r>
      <w:r>
        <w:rPr>
          <w:vertAlign w:val="superscript"/>
          <w:lang w:val="en-US"/>
        </w:rPr>
        <w:t>-1</w:t>
      </w:r>
      <w:r>
        <w:rPr>
          <w:lang w:val="en-US"/>
        </w:rPr>
        <w:t>)</w:t>
      </w:r>
    </w:p>
    <w:p w14:paraId="57A953C0" w14:textId="15FECDC9" w:rsidR="007A211B" w:rsidRDefault="007A211B" w:rsidP="00EF4C9C">
      <w:pPr>
        <w:rPr>
          <w:lang w:val="en-US"/>
        </w:rPr>
      </w:pPr>
    </w:p>
    <w:p w14:paraId="6B29541C" w14:textId="2B8CA9F0" w:rsidR="007A211B" w:rsidRDefault="007A211B" w:rsidP="00EF4C9C">
      <w:pPr>
        <w:rPr>
          <w:lang w:val="en-US"/>
        </w:rPr>
      </w:pPr>
    </w:p>
    <w:p w14:paraId="4E602817" w14:textId="598B465B" w:rsidR="007A211B" w:rsidRDefault="007A211B" w:rsidP="00D60EC5">
      <w:pPr>
        <w:ind w:firstLine="720"/>
        <w:rPr>
          <w:lang w:val="en-US"/>
        </w:rPr>
      </w:pPr>
    </w:p>
    <w:p w14:paraId="4F1703B3" w14:textId="40F5C06C" w:rsidR="00D60EC5" w:rsidRDefault="00D60EC5" w:rsidP="00D60EC5">
      <w:pPr>
        <w:ind w:firstLine="720"/>
        <w:rPr>
          <w:lang w:val="en-US"/>
        </w:rPr>
      </w:pPr>
    </w:p>
    <w:p w14:paraId="2EE3B345" w14:textId="70613535" w:rsidR="00D60EC5" w:rsidRDefault="00D60EC5" w:rsidP="00D60EC5">
      <w:pPr>
        <w:ind w:firstLine="720"/>
        <w:rPr>
          <w:lang w:val="en-US"/>
        </w:rPr>
      </w:pPr>
    </w:p>
    <w:p w14:paraId="5C43159C" w14:textId="14A0D61E" w:rsidR="00D60EC5" w:rsidRDefault="00D60EC5" w:rsidP="00D60EC5">
      <w:pPr>
        <w:ind w:firstLine="720"/>
        <w:rPr>
          <w:lang w:val="en-US"/>
        </w:rPr>
      </w:pPr>
    </w:p>
    <w:p w14:paraId="79430B92" w14:textId="1C1FD59B" w:rsidR="00D60EC5" w:rsidRDefault="00D60EC5" w:rsidP="00D60EC5">
      <w:pPr>
        <w:ind w:firstLine="720"/>
        <w:rPr>
          <w:lang w:val="en-US"/>
        </w:rPr>
      </w:pPr>
    </w:p>
    <w:p w14:paraId="0C524EA3" w14:textId="4C9F86F3" w:rsidR="00D60EC5" w:rsidRDefault="00D60EC5" w:rsidP="00D60EC5">
      <w:pPr>
        <w:ind w:firstLine="720"/>
        <w:rPr>
          <w:lang w:val="en-US"/>
        </w:rPr>
      </w:pPr>
    </w:p>
    <w:p w14:paraId="1F08F9E9" w14:textId="36682D1F" w:rsidR="00D60EC5" w:rsidRDefault="00D60EC5" w:rsidP="00D60EC5">
      <w:pPr>
        <w:ind w:firstLine="720"/>
        <w:rPr>
          <w:lang w:val="en-US"/>
        </w:rPr>
      </w:pPr>
    </w:p>
    <w:p w14:paraId="5597D10E" w14:textId="3C3BFB46" w:rsidR="00D60EC5" w:rsidRDefault="00D60EC5" w:rsidP="00D60EC5">
      <w:pPr>
        <w:ind w:firstLine="720"/>
        <w:rPr>
          <w:lang w:val="en-US"/>
        </w:rPr>
      </w:pPr>
    </w:p>
    <w:p w14:paraId="64238990" w14:textId="4261510C" w:rsidR="00D60EC5" w:rsidRDefault="00D60EC5" w:rsidP="00D60EC5">
      <w:pPr>
        <w:ind w:firstLine="720"/>
        <w:rPr>
          <w:lang w:val="en-US"/>
        </w:rPr>
      </w:pPr>
    </w:p>
    <w:p w14:paraId="2A6F1D3E" w14:textId="03C18BE0" w:rsidR="00D60EC5" w:rsidRDefault="00D60EC5" w:rsidP="00D60EC5">
      <w:pPr>
        <w:ind w:firstLine="720"/>
        <w:rPr>
          <w:lang w:val="en-US"/>
        </w:rPr>
      </w:pPr>
    </w:p>
    <w:p w14:paraId="331FB444" w14:textId="62536EC4" w:rsidR="00D60EC5" w:rsidRDefault="00D60EC5" w:rsidP="00D60EC5">
      <w:pPr>
        <w:ind w:firstLine="720"/>
        <w:rPr>
          <w:lang w:val="en-US"/>
        </w:rPr>
      </w:pPr>
    </w:p>
    <w:p w14:paraId="35CD3BC8" w14:textId="1D7B34AF" w:rsidR="00D60EC5" w:rsidRDefault="00D60EC5" w:rsidP="00D60EC5">
      <w:pPr>
        <w:ind w:firstLine="720"/>
        <w:rPr>
          <w:lang w:val="en-US"/>
        </w:rPr>
      </w:pPr>
    </w:p>
    <w:p w14:paraId="1AA0ECED" w14:textId="2AAE0149" w:rsidR="00D60EC5" w:rsidRDefault="00D60EC5" w:rsidP="00D60EC5">
      <w:pPr>
        <w:ind w:firstLine="720"/>
        <w:rPr>
          <w:lang w:val="en-US"/>
        </w:rPr>
      </w:pPr>
    </w:p>
    <w:p w14:paraId="70742868" w14:textId="333F0449" w:rsidR="00D60EC5" w:rsidRDefault="00D60EC5" w:rsidP="00D60EC5">
      <w:pPr>
        <w:ind w:firstLine="720"/>
        <w:rPr>
          <w:lang w:val="en-US"/>
        </w:rPr>
      </w:pPr>
    </w:p>
    <w:p w14:paraId="13942A95" w14:textId="3632433D" w:rsidR="00D60EC5" w:rsidRDefault="00D60EC5" w:rsidP="00D60EC5">
      <w:pPr>
        <w:ind w:firstLine="720"/>
        <w:rPr>
          <w:lang w:val="en-US"/>
        </w:rPr>
      </w:pPr>
    </w:p>
    <w:p w14:paraId="414A3BF9" w14:textId="57EB9DDE" w:rsidR="00D60EC5" w:rsidRDefault="00D60EC5" w:rsidP="00D60EC5">
      <w:pPr>
        <w:ind w:firstLine="720"/>
        <w:rPr>
          <w:lang w:val="en-US"/>
        </w:rPr>
      </w:pPr>
    </w:p>
    <w:p w14:paraId="05142265" w14:textId="707840E0" w:rsidR="00D60EC5" w:rsidRDefault="00D60EC5" w:rsidP="00D60EC5">
      <w:pPr>
        <w:ind w:firstLine="720"/>
        <w:rPr>
          <w:lang w:val="en-US"/>
        </w:rPr>
      </w:pPr>
    </w:p>
    <w:p w14:paraId="505DB674" w14:textId="23B706D1" w:rsidR="00D60EC5" w:rsidRDefault="00D60EC5" w:rsidP="00D60EC5">
      <w:pPr>
        <w:ind w:firstLine="720"/>
        <w:rPr>
          <w:lang w:val="en-US"/>
        </w:rPr>
      </w:pPr>
    </w:p>
    <w:p w14:paraId="3F8D3C78" w14:textId="28559871" w:rsidR="00280D37" w:rsidRDefault="00280D37" w:rsidP="00D60EC5">
      <w:pPr>
        <w:ind w:firstLine="720"/>
        <w:rPr>
          <w:lang w:val="en-US"/>
        </w:rPr>
      </w:pPr>
    </w:p>
    <w:p w14:paraId="76C60083" w14:textId="250E9D26" w:rsidR="00280D37" w:rsidRDefault="00280D37" w:rsidP="00D60EC5">
      <w:pPr>
        <w:ind w:firstLine="720"/>
        <w:rPr>
          <w:lang w:val="en-US"/>
        </w:rPr>
      </w:pPr>
    </w:p>
    <w:p w14:paraId="3CAF8283" w14:textId="342EAEE9" w:rsidR="00280D37" w:rsidRDefault="00280D37" w:rsidP="00D60EC5">
      <w:pPr>
        <w:ind w:firstLine="720"/>
        <w:rPr>
          <w:lang w:val="en-US"/>
        </w:rPr>
      </w:pPr>
    </w:p>
    <w:p w14:paraId="7DF8F9E1" w14:textId="539739C1" w:rsidR="00280D37" w:rsidRDefault="00280D37" w:rsidP="00D60EC5">
      <w:pPr>
        <w:ind w:firstLine="720"/>
        <w:rPr>
          <w:lang w:val="en-US"/>
        </w:rPr>
      </w:pPr>
    </w:p>
    <w:p w14:paraId="6B8F7541" w14:textId="77777777" w:rsidR="00280D37" w:rsidRDefault="00280D37" w:rsidP="00D60EC5">
      <w:pPr>
        <w:ind w:firstLine="720"/>
        <w:rPr>
          <w:lang w:val="en-US"/>
        </w:rPr>
      </w:pPr>
    </w:p>
    <w:p w14:paraId="05158188" w14:textId="77777777" w:rsidR="00D60EC5" w:rsidRPr="00EF4C9C" w:rsidRDefault="00D60EC5" w:rsidP="00D60EC5">
      <w:pPr>
        <w:ind w:firstLine="720"/>
        <w:rPr>
          <w:lang w:val="en-US"/>
        </w:rPr>
      </w:pPr>
    </w:p>
    <w:p w14:paraId="5E879265" w14:textId="22E513AD" w:rsidR="00684D0F" w:rsidRDefault="00684D0F" w:rsidP="00CB6058">
      <w:pPr>
        <w:pStyle w:val="Heading1"/>
        <w:rPr>
          <w:lang w:val="en-US"/>
        </w:rPr>
      </w:pPr>
      <w:r>
        <w:rPr>
          <w:lang w:val="en-US"/>
        </w:rPr>
        <w:lastRenderedPageBreak/>
        <w:t>Gaseous emissions</w:t>
      </w:r>
    </w:p>
    <w:p w14:paraId="374A5A81" w14:textId="3A7EE6D9" w:rsidR="00684D0F" w:rsidRDefault="00684D0F" w:rsidP="00684D0F">
      <w:pPr>
        <w:rPr>
          <w:lang w:val="en-US"/>
        </w:rPr>
      </w:pPr>
    </w:p>
    <w:p w14:paraId="316AE075" w14:textId="06002ED4" w:rsidR="00684D0F" w:rsidRPr="00684D0F" w:rsidRDefault="00684D0F" w:rsidP="00684D0F">
      <w:pPr>
        <w:pStyle w:val="Heading3"/>
      </w:pPr>
      <w:r w:rsidRPr="00684D0F">
        <w:t>Ammonia (NH3)</w:t>
      </w:r>
    </w:p>
    <w:p w14:paraId="3BBCA722" w14:textId="73129BB4" w:rsidR="00684D0F" w:rsidRDefault="00684D0F" w:rsidP="00684D0F">
      <w:pPr>
        <w:rPr>
          <w:lang w:val="en-US"/>
        </w:rPr>
      </w:pPr>
    </w:p>
    <w:p w14:paraId="2BEC4FDD" w14:textId="2B13BD53" w:rsidR="00684D0F" w:rsidRPr="00EF3536" w:rsidRDefault="00684D0F" w:rsidP="00684D0F">
      <w:pPr>
        <w:rPr>
          <w:lang w:val="en-US"/>
        </w:rPr>
      </w:pPr>
      <w:r>
        <w:rPr>
          <w:lang w:val="en-US"/>
        </w:rPr>
        <w:t xml:space="preserve">Ammonia emissions were calculated for manure management systems (housing including yards, storage), the field application of organic and inorganic fertilisers (biosolids, manure, synthetic fertilisers and grazing) and crop residues burnt </w:t>
      </w:r>
      <w:r w:rsidRPr="00684D0F">
        <w:rPr>
          <w:i/>
          <w:iCs/>
          <w:lang w:val="en-US"/>
        </w:rPr>
        <w:t>in situ</w:t>
      </w:r>
      <w:r>
        <w:rPr>
          <w:lang w:val="en-US"/>
        </w:rPr>
        <w:t xml:space="preserve">. Emissions from manure spreading were calculated for slurry and solid manure. </w:t>
      </w:r>
      <w:r w:rsidR="008D6DAD">
        <w:rPr>
          <w:lang w:val="en-US"/>
        </w:rPr>
        <w:t xml:space="preserve">The methodology used follows </w:t>
      </w:r>
      <w:r w:rsidR="008D6DAD" w:rsidRPr="00EF3536">
        <w:rPr>
          <w:b/>
          <w:bCs/>
          <w:lang w:val="en-US"/>
        </w:rPr>
        <w:t>EMEP (2016)</w:t>
      </w:r>
      <w:r w:rsidR="00EF3536">
        <w:rPr>
          <w:lang w:val="en-US"/>
        </w:rPr>
        <w:t>.</w:t>
      </w:r>
    </w:p>
    <w:p w14:paraId="148F6450" w14:textId="77777777" w:rsidR="00684D0F" w:rsidRDefault="00684D0F" w:rsidP="00684D0F">
      <w:pPr>
        <w:rPr>
          <w:lang w:val="en-US"/>
        </w:rPr>
      </w:pPr>
    </w:p>
    <w:p w14:paraId="623C763A" w14:textId="2591F7E4" w:rsidR="00684D0F" w:rsidRDefault="00EC5E16" w:rsidP="00EC5E16">
      <w:pPr>
        <w:pStyle w:val="Heading3"/>
      </w:pPr>
      <w:r>
        <w:t>Nitrous oxide (N2O)</w:t>
      </w:r>
    </w:p>
    <w:p w14:paraId="6BDFA1EB" w14:textId="6878F28C" w:rsidR="00EC5E16" w:rsidRDefault="00EC5E16" w:rsidP="00EC5E16">
      <w:pPr>
        <w:rPr>
          <w:lang w:val="en-US"/>
        </w:rPr>
      </w:pPr>
    </w:p>
    <w:p w14:paraId="02FDDA33" w14:textId="5FA89B3C" w:rsidR="00EC5E16" w:rsidRDefault="00EC5E16" w:rsidP="00EC5E16">
      <w:pPr>
        <w:rPr>
          <w:lang w:val="en-US"/>
        </w:rPr>
      </w:pPr>
    </w:p>
    <w:p w14:paraId="62583C4A" w14:textId="6E0DDE83" w:rsidR="00EC5E16" w:rsidRDefault="00EC5E16" w:rsidP="00EC5E16">
      <w:pPr>
        <w:rPr>
          <w:lang w:val="en-US"/>
        </w:rPr>
      </w:pPr>
    </w:p>
    <w:p w14:paraId="251E3C8E" w14:textId="08184D36" w:rsidR="00EC5E16" w:rsidRPr="00EC5E16" w:rsidRDefault="00EC5E16" w:rsidP="00EC5E16">
      <w:pPr>
        <w:pStyle w:val="Heading3"/>
      </w:pPr>
      <w:r>
        <w:t>Nitrogen oxides (NOx)</w:t>
      </w:r>
    </w:p>
    <w:p w14:paraId="568018B1" w14:textId="2756B9C1" w:rsidR="00EC5E16" w:rsidRDefault="00EC5E16" w:rsidP="00684D0F">
      <w:pPr>
        <w:rPr>
          <w:lang w:val="en-US"/>
        </w:rPr>
      </w:pPr>
    </w:p>
    <w:p w14:paraId="4520F03D" w14:textId="0CA7A818" w:rsidR="00EC5E16" w:rsidRDefault="00EC5E16" w:rsidP="00684D0F">
      <w:pPr>
        <w:rPr>
          <w:lang w:val="en-US"/>
        </w:rPr>
      </w:pPr>
      <w:r>
        <w:rPr>
          <w:lang w:val="en-US"/>
        </w:rPr>
        <w:t xml:space="preserve">Nitrogen oxides emission were calculated </w:t>
      </w:r>
    </w:p>
    <w:p w14:paraId="34809389" w14:textId="2516F3FB" w:rsidR="00EC5E16" w:rsidRDefault="00EC5E16" w:rsidP="00684D0F">
      <w:pPr>
        <w:rPr>
          <w:lang w:val="en-US"/>
        </w:rPr>
      </w:pPr>
    </w:p>
    <w:p w14:paraId="7C9AB926" w14:textId="56BDE642" w:rsidR="00D60EC5" w:rsidRDefault="00D60EC5" w:rsidP="00684D0F">
      <w:pPr>
        <w:rPr>
          <w:lang w:val="en-US"/>
        </w:rPr>
      </w:pPr>
    </w:p>
    <w:p w14:paraId="4E374AC4" w14:textId="3A3C2469" w:rsidR="00D60EC5" w:rsidRDefault="00D60EC5" w:rsidP="00684D0F">
      <w:pPr>
        <w:rPr>
          <w:lang w:val="en-US"/>
        </w:rPr>
      </w:pPr>
    </w:p>
    <w:p w14:paraId="304D9681" w14:textId="2B939BD8" w:rsidR="00D60EC5" w:rsidRDefault="00D60EC5" w:rsidP="00684D0F">
      <w:pPr>
        <w:rPr>
          <w:lang w:val="en-US"/>
        </w:rPr>
      </w:pPr>
    </w:p>
    <w:p w14:paraId="58CE8429" w14:textId="05B0F8CE" w:rsidR="00D60EC5" w:rsidRDefault="00D60EC5" w:rsidP="00684D0F">
      <w:pPr>
        <w:rPr>
          <w:lang w:val="en-US"/>
        </w:rPr>
      </w:pPr>
    </w:p>
    <w:p w14:paraId="7145BD7E" w14:textId="1B836FA1" w:rsidR="00D60EC5" w:rsidRDefault="00D60EC5" w:rsidP="00684D0F">
      <w:pPr>
        <w:rPr>
          <w:lang w:val="en-US"/>
        </w:rPr>
      </w:pPr>
    </w:p>
    <w:p w14:paraId="1C5E39D9" w14:textId="65DE02CF" w:rsidR="00D60EC5" w:rsidRDefault="00D60EC5" w:rsidP="00684D0F">
      <w:pPr>
        <w:rPr>
          <w:lang w:val="en-US"/>
        </w:rPr>
      </w:pPr>
    </w:p>
    <w:p w14:paraId="111EBC42" w14:textId="6328E985" w:rsidR="00D60EC5" w:rsidRDefault="00D60EC5" w:rsidP="00684D0F">
      <w:pPr>
        <w:rPr>
          <w:lang w:val="en-US"/>
        </w:rPr>
      </w:pPr>
    </w:p>
    <w:p w14:paraId="33938057" w14:textId="3CAF4819" w:rsidR="00D60EC5" w:rsidRDefault="00D60EC5" w:rsidP="00684D0F">
      <w:pPr>
        <w:rPr>
          <w:lang w:val="en-US"/>
        </w:rPr>
      </w:pPr>
    </w:p>
    <w:p w14:paraId="2B6DAD4B" w14:textId="299DD14B" w:rsidR="00D60EC5" w:rsidRDefault="00D60EC5" w:rsidP="00684D0F">
      <w:pPr>
        <w:rPr>
          <w:lang w:val="en-US"/>
        </w:rPr>
      </w:pPr>
    </w:p>
    <w:p w14:paraId="2672E2D2" w14:textId="20744B16" w:rsidR="00D60EC5" w:rsidRDefault="00D60EC5" w:rsidP="00684D0F">
      <w:pPr>
        <w:rPr>
          <w:lang w:val="en-US"/>
        </w:rPr>
      </w:pPr>
    </w:p>
    <w:p w14:paraId="287158B2" w14:textId="1F646601" w:rsidR="00D60EC5" w:rsidRDefault="00D60EC5" w:rsidP="00684D0F">
      <w:pPr>
        <w:rPr>
          <w:lang w:val="en-US"/>
        </w:rPr>
      </w:pPr>
    </w:p>
    <w:p w14:paraId="69A9F6D3" w14:textId="77777777" w:rsidR="00D60EC5" w:rsidRPr="00684D0F" w:rsidRDefault="00D60EC5" w:rsidP="00684D0F">
      <w:pPr>
        <w:rPr>
          <w:lang w:val="en-US"/>
        </w:rPr>
      </w:pPr>
    </w:p>
    <w:p w14:paraId="5AB29697" w14:textId="2C589CE4" w:rsidR="005F4561" w:rsidRDefault="00CB6058" w:rsidP="00CB6058">
      <w:pPr>
        <w:pStyle w:val="Heading1"/>
        <w:rPr>
          <w:lang w:val="en-US"/>
        </w:rPr>
      </w:pPr>
      <w:r>
        <w:rPr>
          <w:lang w:val="en-US"/>
        </w:rPr>
        <w:lastRenderedPageBreak/>
        <w:t>Runoff module</w:t>
      </w:r>
    </w:p>
    <w:p w14:paraId="675064B0" w14:textId="525BC470" w:rsidR="00CB6058" w:rsidRDefault="00CB6058" w:rsidP="00CB6058">
      <w:pPr>
        <w:rPr>
          <w:lang w:val="en-US"/>
        </w:rPr>
      </w:pPr>
    </w:p>
    <w:p w14:paraId="07E522AE" w14:textId="7C703211" w:rsidR="004C590B" w:rsidRDefault="00CB6058" w:rsidP="00CB6058">
      <w:pPr>
        <w:rPr>
          <w:lang w:val="en-US"/>
        </w:rPr>
      </w:pPr>
      <w:r>
        <w:rPr>
          <w:lang w:val="en-US"/>
        </w:rPr>
        <w:t xml:space="preserve">Runoff losses are calculated for the </w:t>
      </w:r>
      <w:r w:rsidRPr="00CB6058">
        <w:rPr>
          <w:b/>
          <w:bCs/>
          <w:lang w:val="en-US"/>
        </w:rPr>
        <w:t>recent application of nutrients to the soil from grazing and the field application of fertilisers</w:t>
      </w:r>
      <w:r>
        <w:rPr>
          <w:lang w:val="en-US"/>
        </w:rPr>
        <w:t xml:space="preserve"> (sludge, manure and synthetic fertilisers) and for the “</w:t>
      </w:r>
      <w:r w:rsidRPr="00CB6058">
        <w:rPr>
          <w:b/>
          <w:bCs/>
          <w:lang w:val="en-US"/>
        </w:rPr>
        <w:t>memory effect</w:t>
      </w:r>
      <w:r>
        <w:rPr>
          <w:lang w:val="en-US"/>
        </w:rPr>
        <w:t xml:space="preserve">” over time </w:t>
      </w:r>
      <w:r>
        <w:rPr>
          <w:lang w:val="en-US"/>
        </w:rPr>
        <w:fldChar w:fldCharType="begin" w:fldLock="1"/>
      </w:r>
      <w:r>
        <w:rPr>
          <w:lang w:val="en-US"/>
        </w:rPr>
        <w:instrText>ADDIN CSL_CITATION {"citationItems":[{"id":"ITEM-1","itemData":{"DOI":"10.5194/gmd-8-4045-2015","ISSN":"19919603","abstract":"The IMAGE-Global Nutrient Model (GNM) is a global distributed spatially explicit model using hydrology as the basis for describing nitrogen (N) and phosphorus (P) delivery to surface water and transport and in-stream retention in rivers, lakes, wetlands and reservoirs. It is part of the integrated assessment model IMAGE, which studies the interaction between society and the environment over prolonged time periods. In the IMAGE-GNM model, grid cells receive water with dissolved and suspended N and P from upstream grid cells; inside grid cells, N and P are delivered to water bodies via diffuse sources (surface runoff, shallow and deep groundwater, riparian zones; litterfall in floodplains; atmospheric deposition) and point sources (wastewater); N and P retention in a water body is calculated on the basis of the residence time of the water and nutrient uptake velocity; subsequently, water and nutrients are transported to downstream grid cells. Differences between model results and observed concentrations for a range of global rivers are acceptable given the global scale of the uncalibrated model. Sensitivity analysis with data for the year 2000 showed that runoff is a major factor for N and P delivery, retention and river export. For both N and P, uptake velocity and all factors used to compute the subgrid in-stream retention are important for total in-stream retention and river export. Soil N budgets, wastewater and all factors determining litterfall in floodplains are important for N delivery to surface water. For P the factors that determine the P content of the soil (soil P content and bulk density) are important factors for delivery and river export.","author":[{"dropping-particle":"","family":"Beusen","given":"A. H.W.","non-dropping-particle":"","parse-names":false,"suffix":""},{"dropping-particle":"","family":"Beek","given":"L. P.H.","non-dropping-particle":"Van","parse-names":false,"suffix":""},{"dropping-particle":"","family":"Bouwman","given":"A. F.","non-dropping-particle":"","parse-names":false,"suffix":""},{"dropping-particle":"","family":"Mogollón","given":"J. M.","non-dropping-particle":"","parse-names":false,"suffix":""},{"dropping-particle":"","family":"Middelburg","given":"J. J.","non-dropping-particle":"","parse-names":false,"suffix":""}],"container-title":"Geoscientific Model Development","id":"ITEM-1","issue":"12","issued":{"date-parts":[["2015"]]},"page":"4045-4067","title":"Coupling global models for hydrology and nutrient loading to simulate nitrogen and phosphorus retention in surface water - Description of IMAGE-GNM and analysis of performance","type":"article-journal","volume":"8"},"uris":["http://www.mendeley.com/documents/?uuid=c5fb0fff-8ac3-4a82-a354-404c3e1ef231"]}],"mendeley":{"formattedCitation":"(Beusen et al., 2015)","plainTextFormattedCitation":"(Beusen et al., 2015)","previouslyFormattedCitation":"(Beusen et al., 2015)"},"properties":{"noteIndex":0},"schema":"https://github.com/citation-style-language/schema/raw/master/csl-citation.json"}</w:instrText>
      </w:r>
      <w:r>
        <w:rPr>
          <w:lang w:val="en-US"/>
        </w:rPr>
        <w:fldChar w:fldCharType="separate"/>
      </w:r>
      <w:r w:rsidRPr="00CB6058">
        <w:rPr>
          <w:noProof/>
          <w:lang w:val="en-US"/>
        </w:rPr>
        <w:t>(Beusen et al., 2015)</w:t>
      </w:r>
      <w:r>
        <w:rPr>
          <w:lang w:val="en-US"/>
        </w:rPr>
        <w:fldChar w:fldCharType="end"/>
      </w:r>
      <w:r>
        <w:rPr>
          <w:lang w:val="en-US"/>
        </w:rPr>
        <w:t>. The former applies the MITERRA-EUROPE approach to first estimate the runoff fraction (</w:t>
      </w:r>
      <w:proofErr w:type="spellStart"/>
      <w:r>
        <w:rPr>
          <w:lang w:val="en-US"/>
        </w:rPr>
        <w:t>f</w:t>
      </w:r>
      <w:r>
        <w:rPr>
          <w:vertAlign w:val="subscript"/>
          <w:lang w:val="en-US"/>
        </w:rPr>
        <w:t>runoff</w:t>
      </w:r>
      <w:proofErr w:type="spellEnd"/>
      <w:r>
        <w:rPr>
          <w:lang w:val="en-US"/>
        </w:rPr>
        <w:t xml:space="preserve">; %N-input) based on environmental parameters </w:t>
      </w:r>
      <w:r>
        <w:rPr>
          <w:lang w:val="en-US"/>
        </w:rPr>
        <w:fldChar w:fldCharType="begin" w:fldLock="1"/>
      </w:r>
      <w:r>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L.","non-dropping-particle":"","parse-names":false,"suffix":""},{"dropping-particle":"","family":"Oudendag","given":"D.","non-dropping-particle":"","parse-names":false,"suffix":""},{"dropping-particle":"","family":"Witzke","given":"H.P.","non-dropping-particle":"","parse-names":false,"suffix":""},{"dropping-particle":"","family":"Asman","given":"W.A.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MITERRA-EUROPE","type":"article-journal","volume":"38"},"uris":["http://www.mendeley.com/documents/?uuid=8e3066fc-86dd-4733-aec4-c4233a018ef0"]}],"mendeley":{"formattedCitation":"(Velthof et al., 2009)","plainTextFormattedCitation":"(Velthof et al., 2009)"},"properties":{"noteIndex":0},"schema":"https://github.com/citation-style-language/schema/raw/master/csl-citation.json"}</w:instrText>
      </w:r>
      <w:r>
        <w:rPr>
          <w:lang w:val="en-US"/>
        </w:rPr>
        <w:fldChar w:fldCharType="separate"/>
      </w:r>
      <w:r w:rsidRPr="00CB6058">
        <w:rPr>
          <w:noProof/>
          <w:lang w:val="en-US"/>
        </w:rPr>
        <w:t>(Velthof et al., 2009)</w:t>
      </w:r>
      <w:r>
        <w:rPr>
          <w:lang w:val="en-US"/>
        </w:rPr>
        <w:fldChar w:fldCharType="end"/>
      </w:r>
      <w:r>
        <w:rPr>
          <w:lang w:val="en-US"/>
        </w:rPr>
        <w:t xml:space="preserve">. </w:t>
      </w:r>
      <w:r w:rsidR="00655DDF">
        <w:rPr>
          <w:lang w:val="en-US"/>
        </w:rPr>
        <w:t xml:space="preserve">Runoff parameters receive as input static data (slope, soil texture and depth to rock) and dynamic data calculated on a yearly basis (land use, precipitation surplus). Land use classes were derived from the land use module. </w:t>
      </w:r>
    </w:p>
    <w:p w14:paraId="5FEB33F0" w14:textId="75A2B667" w:rsidR="004C590B" w:rsidRDefault="00CB6058" w:rsidP="00CB6058">
      <w:pPr>
        <w:rPr>
          <w:lang w:val="en-US"/>
        </w:rPr>
      </w:pPr>
      <w:r>
        <w:rPr>
          <w:lang w:val="en-US"/>
        </w:rPr>
        <w:t xml:space="preserve">Two different methodologies were applied to calculate </w:t>
      </w:r>
      <w:proofErr w:type="spellStart"/>
      <w:r>
        <w:rPr>
          <w:lang w:val="en-US"/>
        </w:rPr>
        <w:t>f</w:t>
      </w:r>
      <w:r>
        <w:rPr>
          <w:vertAlign w:val="subscript"/>
          <w:lang w:val="en-US"/>
        </w:rPr>
        <w:t>runoff</w:t>
      </w:r>
      <w:proofErr w:type="spellEnd"/>
      <w:r>
        <w:rPr>
          <w:vertAlign w:val="subscript"/>
          <w:lang w:val="en-US"/>
        </w:rPr>
        <w:t>:</w:t>
      </w:r>
      <w:r>
        <w:rPr>
          <w:lang w:val="en-US"/>
        </w:rPr>
        <w:t xml:space="preserve"> one based on </w:t>
      </w:r>
      <w:r w:rsidRPr="00CB6058">
        <w:rPr>
          <w:b/>
          <w:bCs/>
          <w:lang w:val="en-US"/>
        </w:rPr>
        <w:t>the potential land use allocation to different crops and management practices</w:t>
      </w:r>
      <w:r>
        <w:rPr>
          <w:lang w:val="en-US"/>
        </w:rPr>
        <w:t xml:space="preserve">, the other calculated by accounting </w:t>
      </w:r>
      <w:r w:rsidRPr="00CB6058">
        <w:rPr>
          <w:b/>
          <w:bCs/>
          <w:lang w:val="en-US"/>
        </w:rPr>
        <w:t>for spatial explicit crop areas</w:t>
      </w:r>
      <w:r>
        <w:rPr>
          <w:lang w:val="en-US"/>
        </w:rPr>
        <w:t xml:space="preserve"> (</w:t>
      </w:r>
      <w:r w:rsidRPr="00CB6058">
        <w:rPr>
          <w:i/>
          <w:iCs/>
          <w:lang w:val="en-US"/>
        </w:rPr>
        <w:t>to be implemented</w:t>
      </w:r>
      <w:r>
        <w:rPr>
          <w:lang w:val="en-US"/>
        </w:rPr>
        <w:t xml:space="preserve">). The </w:t>
      </w:r>
      <w:r w:rsidRPr="00634D57">
        <w:rPr>
          <w:u w:val="single"/>
          <w:lang w:val="en-US"/>
        </w:rPr>
        <w:t>first approach</w:t>
      </w:r>
      <w:r>
        <w:rPr>
          <w:lang w:val="en-US"/>
        </w:rPr>
        <w:t xml:space="preserve"> was implemented by firstly separating management practices (fertilisers and grazing) and by defining allowed land use classes to allocate</w:t>
      </w:r>
      <w:r w:rsidR="00931C7C">
        <w:rPr>
          <w:lang w:val="en-US"/>
        </w:rPr>
        <w:t xml:space="preserve"> different</w:t>
      </w:r>
      <w:r>
        <w:rPr>
          <w:lang w:val="en-US"/>
        </w:rPr>
        <w:t xml:space="preserve"> crop nutrient flows.</w:t>
      </w:r>
      <w:r w:rsidR="00634D57">
        <w:rPr>
          <w:lang w:val="en-US"/>
        </w:rPr>
        <w:t xml:space="preserve"> Land use classes were crop nutrient flows are not allowed were masked out and set to NA, while the authorized land uses were set to 1 and multiplied by the annual runoff fraction.</w:t>
      </w:r>
      <w:r w:rsidR="003D2B82">
        <w:rPr>
          <w:lang w:val="en-US"/>
        </w:rPr>
        <w:t xml:space="preserve"> </w:t>
      </w:r>
      <w:r w:rsidR="00931C7C">
        <w:rPr>
          <w:lang w:val="en-US"/>
        </w:rPr>
        <w:t xml:space="preserve">The following crop classes were aggregated and further allocated: </w:t>
      </w:r>
      <w:proofErr w:type="spellStart"/>
      <w:r w:rsidR="00931C7C">
        <w:rPr>
          <w:lang w:val="en-US"/>
        </w:rPr>
        <w:t>AnnualCrops</w:t>
      </w:r>
      <w:proofErr w:type="spellEnd"/>
      <w:r w:rsidR="00931C7C">
        <w:rPr>
          <w:lang w:val="en-US"/>
        </w:rPr>
        <w:t xml:space="preserve"> (cereals, vegetables, potatoes, pulses), </w:t>
      </w:r>
      <w:proofErr w:type="spellStart"/>
      <w:r w:rsidR="00931C7C">
        <w:rPr>
          <w:lang w:val="en-US"/>
        </w:rPr>
        <w:t>FruitTrees</w:t>
      </w:r>
      <w:proofErr w:type="spellEnd"/>
      <w:r w:rsidR="00931C7C">
        <w:rPr>
          <w:lang w:val="en-US"/>
        </w:rPr>
        <w:t xml:space="preserve"> (citrus, fresh fruits, dried nuts), </w:t>
      </w:r>
      <w:proofErr w:type="spellStart"/>
      <w:r w:rsidR="00931C7C">
        <w:rPr>
          <w:lang w:val="en-US"/>
        </w:rPr>
        <w:t>IntensivePasture</w:t>
      </w:r>
      <w:proofErr w:type="spellEnd"/>
      <w:r w:rsidR="00931C7C">
        <w:rPr>
          <w:lang w:val="en-US"/>
        </w:rPr>
        <w:t xml:space="preserve">, </w:t>
      </w:r>
      <w:proofErr w:type="spellStart"/>
      <w:r w:rsidR="00931C7C">
        <w:rPr>
          <w:lang w:val="en-US"/>
        </w:rPr>
        <w:t>OliveGrove</w:t>
      </w:r>
      <w:proofErr w:type="spellEnd"/>
      <w:r w:rsidR="00931C7C">
        <w:rPr>
          <w:lang w:val="en-US"/>
        </w:rPr>
        <w:t xml:space="preserve">, Vineyards and Rice. For grazing, it was assumed that this practice only occurs in certain LU classes. </w:t>
      </w:r>
    </w:p>
    <w:p w14:paraId="387B8A0A" w14:textId="5137ACC0" w:rsidR="00634D57" w:rsidRDefault="00634D57" w:rsidP="00CB6058">
      <w:pPr>
        <w:rPr>
          <w:lang w:val="en-US"/>
        </w:rPr>
      </w:pPr>
      <w:r>
        <w:rPr>
          <w:lang w:val="en-US"/>
        </w:rPr>
        <w:t xml:space="preserve">The </w:t>
      </w:r>
      <w:r w:rsidRPr="00634D57">
        <w:rPr>
          <w:u w:val="single"/>
          <w:lang w:val="en-US"/>
        </w:rPr>
        <w:t>second approach</w:t>
      </w:r>
      <w:r>
        <w:rPr>
          <w:lang w:val="en-US"/>
        </w:rPr>
        <w:t xml:space="preserve"> was calculated by masking </w:t>
      </w:r>
      <w:r w:rsidR="00655DDF">
        <w:rPr>
          <w:lang w:val="en-US"/>
        </w:rPr>
        <w:t>spatially explicit crop areas from the runoff fraction mask.</w:t>
      </w:r>
    </w:p>
    <w:p w14:paraId="284F46D1" w14:textId="0DC7F9DA" w:rsidR="00634D57" w:rsidRPr="00634D57" w:rsidRDefault="00634D57" w:rsidP="00634D57">
      <w:pPr>
        <w:pStyle w:val="Caption"/>
        <w:keepNext/>
        <w:jc w:val="center"/>
        <w:rPr>
          <w:i w:val="0"/>
          <w:iCs w:val="0"/>
          <w:color w:val="auto"/>
          <w:sz w:val="24"/>
          <w:szCs w:val="24"/>
        </w:rPr>
      </w:pPr>
      <w:r w:rsidRPr="00634D57">
        <w:rPr>
          <w:i w:val="0"/>
          <w:iCs w:val="0"/>
          <w:color w:val="auto"/>
          <w:sz w:val="24"/>
          <w:szCs w:val="24"/>
        </w:rPr>
        <w:t xml:space="preserve">Table </w:t>
      </w:r>
      <w:r w:rsidRPr="00634D57">
        <w:rPr>
          <w:i w:val="0"/>
          <w:iCs w:val="0"/>
          <w:color w:val="auto"/>
          <w:sz w:val="24"/>
          <w:szCs w:val="24"/>
        </w:rPr>
        <w:fldChar w:fldCharType="begin"/>
      </w:r>
      <w:r w:rsidRPr="00634D57">
        <w:rPr>
          <w:i w:val="0"/>
          <w:iCs w:val="0"/>
          <w:color w:val="auto"/>
          <w:sz w:val="24"/>
          <w:szCs w:val="24"/>
        </w:rPr>
        <w:instrText xml:space="preserve"> SEQ Table \* ARABIC </w:instrText>
      </w:r>
      <w:r w:rsidRPr="00634D57">
        <w:rPr>
          <w:i w:val="0"/>
          <w:iCs w:val="0"/>
          <w:color w:val="auto"/>
          <w:sz w:val="24"/>
          <w:szCs w:val="24"/>
        </w:rPr>
        <w:fldChar w:fldCharType="separate"/>
      </w:r>
      <w:r w:rsidR="007A211B">
        <w:rPr>
          <w:i w:val="0"/>
          <w:iCs w:val="0"/>
          <w:noProof/>
          <w:color w:val="auto"/>
          <w:sz w:val="24"/>
          <w:szCs w:val="24"/>
        </w:rPr>
        <w:t>2</w:t>
      </w:r>
      <w:r w:rsidRPr="00634D57">
        <w:rPr>
          <w:i w:val="0"/>
          <w:iCs w:val="0"/>
          <w:color w:val="auto"/>
          <w:sz w:val="24"/>
          <w:szCs w:val="24"/>
        </w:rPr>
        <w:fldChar w:fldCharType="end"/>
      </w:r>
      <w:r>
        <w:rPr>
          <w:i w:val="0"/>
          <w:iCs w:val="0"/>
          <w:color w:val="auto"/>
          <w:sz w:val="24"/>
          <w:szCs w:val="24"/>
        </w:rPr>
        <w:t>.</w:t>
      </w:r>
      <w:r w:rsidRPr="00634D57">
        <w:rPr>
          <w:i w:val="0"/>
          <w:iCs w:val="0"/>
          <w:color w:val="auto"/>
          <w:sz w:val="24"/>
          <w:szCs w:val="24"/>
        </w:rPr>
        <w:t xml:space="preserve"> Allowed land use (allocation) classes</w:t>
      </w:r>
      <w:r w:rsidR="00655DDF">
        <w:rPr>
          <w:i w:val="0"/>
          <w:iCs w:val="0"/>
          <w:color w:val="auto"/>
          <w:sz w:val="24"/>
          <w:szCs w:val="24"/>
        </w:rPr>
        <w:t xml:space="preserve"> </w:t>
      </w:r>
      <w:r w:rsidR="004C590B">
        <w:rPr>
          <w:i w:val="0"/>
          <w:iCs w:val="0"/>
          <w:color w:val="auto"/>
          <w:sz w:val="24"/>
          <w:szCs w:val="24"/>
        </w:rPr>
        <w:t xml:space="preserve">for </w:t>
      </w:r>
      <w:proofErr w:type="spellStart"/>
      <w:r w:rsidR="004C590B">
        <w:rPr>
          <w:i w:val="0"/>
          <w:iCs w:val="0"/>
          <w:color w:val="auto"/>
          <w:sz w:val="24"/>
          <w:szCs w:val="24"/>
        </w:rPr>
        <w:t>AnnualCrops</w:t>
      </w:r>
      <w:proofErr w:type="spellEnd"/>
      <w:r w:rsidR="004C590B">
        <w:rPr>
          <w:i w:val="0"/>
          <w:iCs w:val="0"/>
          <w:color w:val="auto"/>
          <w:sz w:val="24"/>
          <w:szCs w:val="24"/>
        </w:rPr>
        <w:t xml:space="preserve"> </w:t>
      </w:r>
      <w:r w:rsidR="00655DDF">
        <w:rPr>
          <w:i w:val="0"/>
          <w:iCs w:val="0"/>
          <w:color w:val="auto"/>
          <w:sz w:val="24"/>
          <w:szCs w:val="24"/>
        </w:rPr>
        <w:t>(</w:t>
      </w:r>
      <w:proofErr w:type="spellStart"/>
      <w:r w:rsidR="00655DDF">
        <w:rPr>
          <w:i w:val="0"/>
          <w:iCs w:val="0"/>
          <w:color w:val="auto"/>
          <w:sz w:val="24"/>
          <w:szCs w:val="24"/>
        </w:rPr>
        <w:t>Activity_data</w:t>
      </w:r>
      <w:proofErr w:type="spellEnd"/>
      <w:r w:rsidR="00655DDF">
        <w:rPr>
          <w:i w:val="0"/>
          <w:iCs w:val="0"/>
          <w:color w:val="auto"/>
          <w:sz w:val="24"/>
          <w:szCs w:val="24"/>
        </w:rPr>
        <w:t>/</w:t>
      </w:r>
      <w:proofErr w:type="spellStart"/>
      <w:r w:rsidR="00655DDF">
        <w:rPr>
          <w:i w:val="0"/>
          <w:iCs w:val="0"/>
          <w:color w:val="auto"/>
          <w:sz w:val="24"/>
          <w:szCs w:val="24"/>
        </w:rPr>
        <w:t>General_params</w:t>
      </w:r>
      <w:proofErr w:type="spellEnd"/>
      <w:r w:rsidR="00655DDF">
        <w:rPr>
          <w:i w:val="0"/>
          <w:iCs w:val="0"/>
          <w:color w:val="auto"/>
          <w:sz w:val="24"/>
          <w:szCs w:val="24"/>
        </w:rPr>
        <w:t>/LULCC/Runoff/</w:t>
      </w:r>
      <w:proofErr w:type="spellStart"/>
      <w:r w:rsidR="00655DDF">
        <w:rPr>
          <w:i w:val="0"/>
          <w:iCs w:val="0"/>
          <w:color w:val="auto"/>
          <w:sz w:val="24"/>
          <w:szCs w:val="24"/>
        </w:rPr>
        <w:t>LU_allocation</w:t>
      </w:r>
      <w:proofErr w:type="spellEnd"/>
      <w:r w:rsidR="00655DDF">
        <w:rPr>
          <w:i w:val="0"/>
          <w:iCs w:val="0"/>
          <w:color w:val="auto"/>
          <w:sz w:val="24"/>
          <w:szCs w:val="24"/>
        </w:rPr>
        <w:t>)</w:t>
      </w:r>
    </w:p>
    <w:tbl>
      <w:tblPr>
        <w:tblStyle w:val="PlainTable2"/>
        <w:tblW w:w="9360" w:type="dxa"/>
        <w:tblLook w:val="04A0" w:firstRow="1" w:lastRow="0" w:firstColumn="1" w:lastColumn="0" w:noHBand="0" w:noVBand="1"/>
      </w:tblPr>
      <w:tblGrid>
        <w:gridCol w:w="945"/>
        <w:gridCol w:w="3980"/>
        <w:gridCol w:w="2872"/>
        <w:gridCol w:w="1563"/>
      </w:tblGrid>
      <w:tr w:rsidR="00CB6058" w:rsidRPr="00CB6058" w14:paraId="0B4A645D" w14:textId="77777777" w:rsidTr="00CB60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67A412E" w14:textId="77777777" w:rsidR="00CB6058" w:rsidRPr="00CB6058" w:rsidRDefault="00CB6058" w:rsidP="00CB6058">
            <w:pPr>
              <w:rPr>
                <w:rFonts w:eastAsia="Times New Roman"/>
                <w:color w:val="000000"/>
                <w:lang w:val="en-US"/>
              </w:rPr>
            </w:pPr>
            <w:proofErr w:type="spellStart"/>
            <w:r w:rsidRPr="00CB6058">
              <w:rPr>
                <w:rFonts w:eastAsia="Times New Roman"/>
                <w:color w:val="000000"/>
                <w:lang w:val="en-US"/>
              </w:rPr>
              <w:t>clc_id</w:t>
            </w:r>
            <w:proofErr w:type="spellEnd"/>
          </w:p>
        </w:tc>
        <w:tc>
          <w:tcPr>
            <w:tcW w:w="3980" w:type="dxa"/>
            <w:noWrap/>
            <w:hideMark/>
          </w:tcPr>
          <w:p w14:paraId="3B234094"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label</w:t>
            </w:r>
          </w:p>
        </w:tc>
        <w:tc>
          <w:tcPr>
            <w:tcW w:w="2872" w:type="dxa"/>
            <w:noWrap/>
            <w:hideMark/>
          </w:tcPr>
          <w:p w14:paraId="52713073"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LULCC_label</w:t>
            </w:r>
            <w:proofErr w:type="spellEnd"/>
          </w:p>
        </w:tc>
        <w:tc>
          <w:tcPr>
            <w:tcW w:w="1563" w:type="dxa"/>
            <w:noWrap/>
            <w:hideMark/>
          </w:tcPr>
          <w:p w14:paraId="5B5C9EF1"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allow_runoff</w:t>
            </w:r>
            <w:proofErr w:type="spellEnd"/>
          </w:p>
        </w:tc>
      </w:tr>
      <w:tr w:rsidR="00CB6058" w:rsidRPr="00CB6058" w14:paraId="18E828E2"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FF8EAF9"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1</w:t>
            </w:r>
          </w:p>
        </w:tc>
        <w:tc>
          <w:tcPr>
            <w:tcW w:w="3980" w:type="dxa"/>
            <w:noWrap/>
            <w:hideMark/>
          </w:tcPr>
          <w:p w14:paraId="4B5B2C3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2872" w:type="dxa"/>
            <w:noWrap/>
            <w:hideMark/>
          </w:tcPr>
          <w:p w14:paraId="03BC516A"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1563" w:type="dxa"/>
            <w:noWrap/>
            <w:hideMark/>
          </w:tcPr>
          <w:p w14:paraId="6A8C06A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D0DA6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D75356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w:t>
            </w:r>
          </w:p>
        </w:tc>
        <w:tc>
          <w:tcPr>
            <w:tcW w:w="3980" w:type="dxa"/>
            <w:noWrap/>
            <w:hideMark/>
          </w:tcPr>
          <w:p w14:paraId="348D8475"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2872" w:type="dxa"/>
            <w:noWrap/>
            <w:hideMark/>
          </w:tcPr>
          <w:p w14:paraId="341F5B8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1563" w:type="dxa"/>
            <w:noWrap/>
            <w:hideMark/>
          </w:tcPr>
          <w:p w14:paraId="320696B8"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B610651"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458495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w:t>
            </w:r>
          </w:p>
        </w:tc>
        <w:tc>
          <w:tcPr>
            <w:tcW w:w="3980" w:type="dxa"/>
            <w:noWrap/>
            <w:hideMark/>
          </w:tcPr>
          <w:p w14:paraId="4A01410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2872" w:type="dxa"/>
            <w:noWrap/>
            <w:hideMark/>
          </w:tcPr>
          <w:p w14:paraId="2D278D0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1563" w:type="dxa"/>
            <w:noWrap/>
            <w:hideMark/>
          </w:tcPr>
          <w:p w14:paraId="6159C17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07EF70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43C41D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211</w:t>
            </w:r>
          </w:p>
        </w:tc>
        <w:tc>
          <w:tcPr>
            <w:tcW w:w="3980" w:type="dxa"/>
            <w:shd w:val="clear" w:color="auto" w:fill="92D050"/>
            <w:noWrap/>
            <w:hideMark/>
          </w:tcPr>
          <w:p w14:paraId="76B5DA7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Non-irrigated arable land</w:t>
            </w:r>
          </w:p>
        </w:tc>
        <w:tc>
          <w:tcPr>
            <w:tcW w:w="2872" w:type="dxa"/>
            <w:shd w:val="clear" w:color="auto" w:fill="92D050"/>
            <w:noWrap/>
            <w:hideMark/>
          </w:tcPr>
          <w:p w14:paraId="398A3A5B"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Non_irrigated</w:t>
            </w:r>
            <w:proofErr w:type="spellEnd"/>
          </w:p>
        </w:tc>
        <w:tc>
          <w:tcPr>
            <w:tcW w:w="1563" w:type="dxa"/>
            <w:shd w:val="clear" w:color="auto" w:fill="92D050"/>
            <w:noWrap/>
            <w:hideMark/>
          </w:tcPr>
          <w:p w14:paraId="06ED811D"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F2738A8"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01D77195"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212</w:t>
            </w:r>
          </w:p>
        </w:tc>
        <w:tc>
          <w:tcPr>
            <w:tcW w:w="3980" w:type="dxa"/>
            <w:shd w:val="clear" w:color="auto" w:fill="92D050"/>
            <w:noWrap/>
            <w:hideMark/>
          </w:tcPr>
          <w:p w14:paraId="412D10C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 irrigated land</w:t>
            </w:r>
          </w:p>
        </w:tc>
        <w:tc>
          <w:tcPr>
            <w:tcW w:w="2872" w:type="dxa"/>
            <w:shd w:val="clear" w:color="auto" w:fill="92D050"/>
            <w:noWrap/>
            <w:hideMark/>
          </w:tcPr>
          <w:p w14:paraId="78E9B693"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Permanently_irrigated</w:t>
            </w:r>
            <w:proofErr w:type="spellEnd"/>
          </w:p>
        </w:tc>
        <w:tc>
          <w:tcPr>
            <w:tcW w:w="1563" w:type="dxa"/>
            <w:shd w:val="clear" w:color="auto" w:fill="92D050"/>
            <w:noWrap/>
            <w:hideMark/>
          </w:tcPr>
          <w:p w14:paraId="390E282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B716C8A"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EB572BA"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213</w:t>
            </w:r>
          </w:p>
        </w:tc>
        <w:tc>
          <w:tcPr>
            <w:tcW w:w="3980" w:type="dxa"/>
            <w:noWrap/>
            <w:hideMark/>
          </w:tcPr>
          <w:p w14:paraId="21FF206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 fields</w:t>
            </w:r>
          </w:p>
        </w:tc>
        <w:tc>
          <w:tcPr>
            <w:tcW w:w="2872" w:type="dxa"/>
            <w:noWrap/>
            <w:hideMark/>
          </w:tcPr>
          <w:p w14:paraId="538B49FD"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w:t>
            </w:r>
          </w:p>
        </w:tc>
        <w:tc>
          <w:tcPr>
            <w:tcW w:w="1563" w:type="dxa"/>
            <w:noWrap/>
            <w:hideMark/>
          </w:tcPr>
          <w:p w14:paraId="21A253B1"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F073A4"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95DCFA8"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221</w:t>
            </w:r>
          </w:p>
        </w:tc>
        <w:tc>
          <w:tcPr>
            <w:tcW w:w="3980" w:type="dxa"/>
            <w:noWrap/>
            <w:hideMark/>
          </w:tcPr>
          <w:p w14:paraId="1EF4650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2872" w:type="dxa"/>
            <w:noWrap/>
            <w:hideMark/>
          </w:tcPr>
          <w:p w14:paraId="20D4A74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1563" w:type="dxa"/>
            <w:noWrap/>
            <w:hideMark/>
          </w:tcPr>
          <w:p w14:paraId="1921C0DC"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2130A2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9912B8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222</w:t>
            </w:r>
          </w:p>
        </w:tc>
        <w:tc>
          <w:tcPr>
            <w:tcW w:w="3980" w:type="dxa"/>
            <w:noWrap/>
            <w:hideMark/>
          </w:tcPr>
          <w:p w14:paraId="413EADEF"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 trees and berry plantations</w:t>
            </w:r>
          </w:p>
        </w:tc>
        <w:tc>
          <w:tcPr>
            <w:tcW w:w="2872" w:type="dxa"/>
            <w:noWrap/>
            <w:hideMark/>
          </w:tcPr>
          <w:p w14:paraId="1CA37AE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Fruit_trees</w:t>
            </w:r>
            <w:proofErr w:type="spellEnd"/>
          </w:p>
        </w:tc>
        <w:tc>
          <w:tcPr>
            <w:tcW w:w="1563" w:type="dxa"/>
            <w:noWrap/>
            <w:hideMark/>
          </w:tcPr>
          <w:p w14:paraId="46AE9190"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9D44837"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F78F63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223</w:t>
            </w:r>
          </w:p>
        </w:tc>
        <w:tc>
          <w:tcPr>
            <w:tcW w:w="3980" w:type="dxa"/>
            <w:noWrap/>
            <w:hideMark/>
          </w:tcPr>
          <w:p w14:paraId="7E89C450"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 groves</w:t>
            </w:r>
          </w:p>
        </w:tc>
        <w:tc>
          <w:tcPr>
            <w:tcW w:w="2872" w:type="dxa"/>
            <w:noWrap/>
            <w:hideMark/>
          </w:tcPr>
          <w:p w14:paraId="063D1D56"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Olive_groves</w:t>
            </w:r>
            <w:proofErr w:type="spellEnd"/>
          </w:p>
        </w:tc>
        <w:tc>
          <w:tcPr>
            <w:tcW w:w="1563" w:type="dxa"/>
            <w:noWrap/>
            <w:hideMark/>
          </w:tcPr>
          <w:p w14:paraId="719B31D9"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F44698"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FE365E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231</w:t>
            </w:r>
          </w:p>
        </w:tc>
        <w:tc>
          <w:tcPr>
            <w:tcW w:w="3980" w:type="dxa"/>
            <w:noWrap/>
            <w:hideMark/>
          </w:tcPr>
          <w:p w14:paraId="21C86B4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2872" w:type="dxa"/>
            <w:noWrap/>
            <w:hideMark/>
          </w:tcPr>
          <w:p w14:paraId="20C7D33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1563" w:type="dxa"/>
            <w:noWrap/>
            <w:hideMark/>
          </w:tcPr>
          <w:p w14:paraId="2CFEB1B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3A8EFB9"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534506E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241</w:t>
            </w:r>
          </w:p>
        </w:tc>
        <w:tc>
          <w:tcPr>
            <w:tcW w:w="3980" w:type="dxa"/>
            <w:shd w:val="clear" w:color="auto" w:fill="92D050"/>
            <w:noWrap/>
            <w:hideMark/>
          </w:tcPr>
          <w:p w14:paraId="1A26323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 crops associated with permanent crops</w:t>
            </w:r>
          </w:p>
        </w:tc>
        <w:tc>
          <w:tcPr>
            <w:tcW w:w="2872" w:type="dxa"/>
            <w:shd w:val="clear" w:color="auto" w:fill="92D050"/>
            <w:noWrap/>
            <w:hideMark/>
          </w:tcPr>
          <w:p w14:paraId="46615C92"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Annuals_permanents</w:t>
            </w:r>
            <w:proofErr w:type="spellEnd"/>
          </w:p>
        </w:tc>
        <w:tc>
          <w:tcPr>
            <w:tcW w:w="1563" w:type="dxa"/>
            <w:shd w:val="clear" w:color="auto" w:fill="92D050"/>
            <w:noWrap/>
            <w:hideMark/>
          </w:tcPr>
          <w:p w14:paraId="202918CB"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5B168754"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3016D16"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242</w:t>
            </w:r>
          </w:p>
        </w:tc>
        <w:tc>
          <w:tcPr>
            <w:tcW w:w="3980" w:type="dxa"/>
            <w:shd w:val="clear" w:color="auto" w:fill="92D050"/>
            <w:noWrap/>
            <w:hideMark/>
          </w:tcPr>
          <w:p w14:paraId="48C2DFE0"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 cultivation patterns</w:t>
            </w:r>
          </w:p>
        </w:tc>
        <w:tc>
          <w:tcPr>
            <w:tcW w:w="2872" w:type="dxa"/>
            <w:shd w:val="clear" w:color="auto" w:fill="92D050"/>
            <w:noWrap/>
            <w:hideMark/>
          </w:tcPr>
          <w:p w14:paraId="77136A0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Complex_patterns</w:t>
            </w:r>
            <w:proofErr w:type="spellEnd"/>
          </w:p>
        </w:tc>
        <w:tc>
          <w:tcPr>
            <w:tcW w:w="1563" w:type="dxa"/>
            <w:shd w:val="clear" w:color="auto" w:fill="92D050"/>
            <w:noWrap/>
            <w:hideMark/>
          </w:tcPr>
          <w:p w14:paraId="3ED70CE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2D69E31D"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A528F1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243</w:t>
            </w:r>
          </w:p>
        </w:tc>
        <w:tc>
          <w:tcPr>
            <w:tcW w:w="3980" w:type="dxa"/>
            <w:noWrap/>
            <w:hideMark/>
          </w:tcPr>
          <w:p w14:paraId="1C4721B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Land principally occupied by agriculture with significant areas of natural vegetation</w:t>
            </w:r>
          </w:p>
        </w:tc>
        <w:tc>
          <w:tcPr>
            <w:tcW w:w="2872" w:type="dxa"/>
            <w:noWrap/>
            <w:hideMark/>
          </w:tcPr>
          <w:p w14:paraId="6FE55F9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Agriculture_naturalVeg</w:t>
            </w:r>
            <w:proofErr w:type="spellEnd"/>
          </w:p>
        </w:tc>
        <w:tc>
          <w:tcPr>
            <w:tcW w:w="1563" w:type="dxa"/>
            <w:noWrap/>
            <w:hideMark/>
          </w:tcPr>
          <w:p w14:paraId="4D9021B4"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500EC0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523A988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lastRenderedPageBreak/>
              <w:t>244</w:t>
            </w:r>
          </w:p>
        </w:tc>
        <w:tc>
          <w:tcPr>
            <w:tcW w:w="3980" w:type="dxa"/>
            <w:noWrap/>
            <w:hideMark/>
          </w:tcPr>
          <w:p w14:paraId="2CF9D6A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w:t>
            </w:r>
            <w:proofErr w:type="spellEnd"/>
            <w:r w:rsidRPr="00CB6058">
              <w:rPr>
                <w:rFonts w:eastAsia="Times New Roman"/>
                <w:color w:val="000000"/>
                <w:lang w:val="en-US"/>
              </w:rPr>
              <w:t>-forestry areas</w:t>
            </w:r>
          </w:p>
        </w:tc>
        <w:tc>
          <w:tcPr>
            <w:tcW w:w="2872" w:type="dxa"/>
            <w:noWrap/>
            <w:hideMark/>
          </w:tcPr>
          <w:p w14:paraId="07AC57D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AgroForestry</w:t>
            </w:r>
            <w:proofErr w:type="spellEnd"/>
          </w:p>
        </w:tc>
        <w:tc>
          <w:tcPr>
            <w:tcW w:w="1563" w:type="dxa"/>
            <w:noWrap/>
            <w:hideMark/>
          </w:tcPr>
          <w:p w14:paraId="79B30CD9"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13D41A"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F6C751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321</w:t>
            </w:r>
          </w:p>
        </w:tc>
        <w:tc>
          <w:tcPr>
            <w:tcW w:w="3980" w:type="dxa"/>
            <w:noWrap/>
            <w:hideMark/>
          </w:tcPr>
          <w:p w14:paraId="2ED46F9C"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 grasslands</w:t>
            </w:r>
          </w:p>
        </w:tc>
        <w:tc>
          <w:tcPr>
            <w:tcW w:w="2872" w:type="dxa"/>
            <w:noWrap/>
            <w:hideMark/>
          </w:tcPr>
          <w:p w14:paraId="26CA8A84"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Natural_grasslands</w:t>
            </w:r>
            <w:proofErr w:type="spellEnd"/>
          </w:p>
        </w:tc>
        <w:tc>
          <w:tcPr>
            <w:tcW w:w="1563" w:type="dxa"/>
            <w:noWrap/>
            <w:hideMark/>
          </w:tcPr>
          <w:p w14:paraId="4330B16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0C4BF0F9"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9BCCF0D"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512</w:t>
            </w:r>
          </w:p>
        </w:tc>
        <w:tc>
          <w:tcPr>
            <w:tcW w:w="3980" w:type="dxa"/>
            <w:noWrap/>
            <w:hideMark/>
          </w:tcPr>
          <w:p w14:paraId="7B5FE4E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 bodies</w:t>
            </w:r>
          </w:p>
        </w:tc>
        <w:tc>
          <w:tcPr>
            <w:tcW w:w="2872" w:type="dxa"/>
            <w:noWrap/>
            <w:hideMark/>
          </w:tcPr>
          <w:p w14:paraId="28DCB70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Water_bodies</w:t>
            </w:r>
            <w:proofErr w:type="spellEnd"/>
          </w:p>
        </w:tc>
        <w:tc>
          <w:tcPr>
            <w:tcW w:w="1563" w:type="dxa"/>
            <w:noWrap/>
            <w:hideMark/>
          </w:tcPr>
          <w:p w14:paraId="36664403"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bl>
    <w:p w14:paraId="467ED6FC" w14:textId="77777777" w:rsidR="00CB6058" w:rsidRPr="00CB6058" w:rsidRDefault="00CB6058" w:rsidP="00CB6058">
      <w:pPr>
        <w:rPr>
          <w:lang w:val="en-US"/>
        </w:rPr>
      </w:pPr>
    </w:p>
    <w:p w14:paraId="7E2BEB61" w14:textId="77777777" w:rsidR="00931C7C" w:rsidRDefault="004C590B" w:rsidP="00CB6058">
      <w:pPr>
        <w:rPr>
          <w:lang w:val="en-US"/>
        </w:rPr>
      </w:pPr>
      <w:r>
        <w:rPr>
          <w:lang w:val="en-US"/>
        </w:rPr>
        <w:t>Nutrient runoff losses from recent application (</w:t>
      </w:r>
      <w:proofErr w:type="spellStart"/>
      <w:r>
        <w:rPr>
          <w:lang w:val="en-US"/>
        </w:rPr>
        <w:t>Nut</w:t>
      </w:r>
      <w:r>
        <w:rPr>
          <w:vertAlign w:val="subscript"/>
          <w:lang w:val="en-US"/>
        </w:rPr>
        <w:t>Res</w:t>
      </w:r>
      <w:proofErr w:type="spellEnd"/>
      <w:r>
        <w:rPr>
          <w:vertAlign w:val="subscript"/>
          <w:lang w:val="en-US"/>
        </w:rPr>
        <w:t>, rf</w:t>
      </w:r>
      <w:r>
        <w:rPr>
          <w:lang w:val="en-US"/>
        </w:rPr>
        <w:t>) were calculated as the product of runoff fractions and the net nutrient returned to the soil (</w:t>
      </w:r>
      <w:proofErr w:type="spellStart"/>
      <w:r>
        <w:rPr>
          <w:lang w:val="en-US"/>
        </w:rPr>
        <w:t>Nut</w:t>
      </w:r>
      <w:r>
        <w:rPr>
          <w:vertAlign w:val="subscript"/>
          <w:lang w:val="en-US"/>
        </w:rPr>
        <w:t>Res</w:t>
      </w:r>
      <w:proofErr w:type="spellEnd"/>
      <w:r>
        <w:rPr>
          <w:vertAlign w:val="subscript"/>
          <w:lang w:val="en-US"/>
        </w:rPr>
        <w:t>, net</w:t>
      </w:r>
      <w:r>
        <w:rPr>
          <w:lang w:val="en-US"/>
        </w:rPr>
        <w:t xml:space="preserve">). </w:t>
      </w:r>
      <w:r w:rsidRPr="004C590B">
        <w:rPr>
          <w:lang w:val="en-US"/>
        </w:rPr>
        <w:t>For nitrogen, ammonia (NH</w:t>
      </w:r>
      <w:r w:rsidRPr="004C590B">
        <w:rPr>
          <w:vertAlign w:val="subscript"/>
          <w:lang w:val="en-US"/>
        </w:rPr>
        <w:t>3</w:t>
      </w:r>
      <w:r w:rsidRPr="004C590B">
        <w:rPr>
          <w:lang w:val="en-US"/>
        </w:rPr>
        <w:t>) emissions were subtracted from the field application of fertilisers and grazing.</w:t>
      </w:r>
      <w:r w:rsidRPr="004C590B">
        <w:rPr>
          <w:b/>
          <w:bCs/>
          <w:lang w:val="en-US"/>
        </w:rPr>
        <w:t xml:space="preserve"> </w:t>
      </w:r>
      <w:r>
        <w:rPr>
          <w:lang w:val="en-US"/>
        </w:rPr>
        <w:t xml:space="preserve">It is implied that that the total </w:t>
      </w:r>
      <w:proofErr w:type="spellStart"/>
      <w:r>
        <w:rPr>
          <w:lang w:val="en-US"/>
        </w:rPr>
        <w:t>Nut</w:t>
      </w:r>
      <w:r>
        <w:rPr>
          <w:vertAlign w:val="subscript"/>
          <w:lang w:val="en-US"/>
        </w:rPr>
        <w:t>res</w:t>
      </w:r>
      <w:proofErr w:type="spellEnd"/>
      <w:r>
        <w:rPr>
          <w:vertAlign w:val="subscript"/>
          <w:lang w:val="en-US"/>
        </w:rPr>
        <w:t>, rf</w:t>
      </w:r>
      <w:r>
        <w:rPr>
          <w:lang w:val="en-US"/>
        </w:rPr>
        <w:t xml:space="preserve"> is the sum of the runoff losses </w:t>
      </w:r>
      <w:r w:rsidR="00931C7C">
        <w:rPr>
          <w:lang w:val="en-US"/>
        </w:rPr>
        <w:t>from all crop classes</w:t>
      </w:r>
      <w:r>
        <w:rPr>
          <w:lang w:val="en-US"/>
        </w:rPr>
        <w:t xml:space="preserve"> </w:t>
      </w:r>
      <w:r w:rsidR="00931C7C" w:rsidRPr="00931C7C">
        <w:rPr>
          <w:b/>
          <w:bCs/>
          <w:lang w:val="en-US"/>
        </w:rPr>
        <w:t>and</w:t>
      </w:r>
      <w:r w:rsidR="00931C7C">
        <w:rPr>
          <w:lang w:val="en-US"/>
        </w:rPr>
        <w:t xml:space="preserve"> for grazing and field application. </w:t>
      </w:r>
    </w:p>
    <w:p w14:paraId="4FE276C9" w14:textId="74D96D2C" w:rsidR="00931C7C" w:rsidRDefault="00931C7C" w:rsidP="00CB6058">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runoff</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Res,net</m:t>
              </m:r>
            </m:sub>
          </m:sSub>
        </m:oMath>
      </m:oMathPara>
    </w:p>
    <w:p w14:paraId="4006C02C" w14:textId="40DD502F" w:rsidR="00CB6058" w:rsidRDefault="00931C7C" w:rsidP="00CB6058">
      <w:pPr>
        <w:rPr>
          <w:lang w:val="en-US"/>
        </w:rPr>
      </w:pPr>
      <w:r>
        <w:rPr>
          <w:lang w:val="en-US"/>
        </w:rPr>
        <w:t xml:space="preserve">For instance, for the nitrogen losses of </w:t>
      </w:r>
      <w:proofErr w:type="spellStart"/>
      <w:r>
        <w:rPr>
          <w:lang w:val="en-US"/>
        </w:rPr>
        <w:t>Irrigated_maize</w:t>
      </w:r>
      <w:proofErr w:type="spellEnd"/>
      <w:r>
        <w:rPr>
          <w:lang w:val="en-US"/>
        </w:rPr>
        <w:t xml:space="preserve"> (an annual crop) from manure application, </w:t>
      </w:r>
      <w:proofErr w:type="spellStart"/>
      <w:r>
        <w:rPr>
          <w:lang w:val="en-US"/>
        </w:rPr>
        <w:t>f</w:t>
      </w:r>
      <w:r>
        <w:rPr>
          <w:vertAlign w:val="subscript"/>
          <w:lang w:val="en-US"/>
        </w:rPr>
        <w:t>runoff</w:t>
      </w:r>
      <w:proofErr w:type="spellEnd"/>
      <w:r>
        <w:rPr>
          <w:lang w:val="en-US"/>
        </w:rPr>
        <w:t xml:space="preserve"> was calculated by allocating the net nutrient losses to the allowed land use classes (i.e., gross manure spreading minus the NH</w:t>
      </w:r>
      <w:r>
        <w:rPr>
          <w:vertAlign w:val="subscript"/>
          <w:lang w:val="en-US"/>
        </w:rPr>
        <w:t>3</w:t>
      </w:r>
      <w:r>
        <w:rPr>
          <w:lang w:val="en-US"/>
        </w:rPr>
        <w:t xml:space="preserve"> emissions following application (Table 1).</w:t>
      </w:r>
    </w:p>
    <w:p w14:paraId="0E224D31" w14:textId="77777777" w:rsidR="00931C7C" w:rsidRPr="00931C7C" w:rsidRDefault="00931C7C" w:rsidP="00CB6058">
      <w:pPr>
        <w:rPr>
          <w:rFonts w:eastAsiaTheme="minorEastAsia"/>
          <w:sz w:val="22"/>
          <w:szCs w:val="22"/>
          <w:lang w:val="en-US"/>
        </w:rPr>
      </w:pPr>
      <m:oMathPara>
        <m:oMath>
          <m:r>
            <w:rPr>
              <w:rFonts w:ascii="Cambria Math" w:hAnsi="Cambria Math"/>
              <w:sz w:val="22"/>
              <w:szCs w:val="22"/>
              <w:lang w:val="en-US"/>
            </w:rPr>
            <m:t>Nu</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Res,rf,   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m:t>
          </m:r>
        </m:oMath>
      </m:oMathPara>
    </w:p>
    <w:p w14:paraId="70EC1071" w14:textId="0907DFD3" w:rsidR="00931C7C" w:rsidRPr="00931C7C" w:rsidRDefault="00280D37" w:rsidP="00CB6058">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runoff,   L</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allocatio</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AnnualCrops</m:t>
                      </m:r>
                    </m:sub>
                  </m:sSub>
                </m:sub>
              </m:sSub>
            </m:sub>
          </m:sSub>
          <m:r>
            <w:rPr>
              <w:rFonts w:ascii="Cambria Math" w:hAnsi="Cambria Math"/>
              <w:sz w:val="22"/>
              <w:szCs w:val="22"/>
              <w:lang w:val="en-US"/>
            </w:rPr>
            <m:t xml:space="preserve"> x </m:t>
          </m:r>
          <m:d>
            <m:dPr>
              <m:ctrlPr>
                <w:rPr>
                  <w:rFonts w:ascii="Cambria Math" w:hAnsi="Cambria Math"/>
                  <w:i/>
                  <w:sz w:val="22"/>
                  <w:szCs w:val="22"/>
                  <w:lang w:val="en-US"/>
                </w:rPr>
              </m:ctrlPr>
            </m:dPr>
            <m:e>
              <m:r>
                <w:rPr>
                  <w:rFonts w:ascii="Cambria Math" w:hAnsi="Cambria Math"/>
                  <w:sz w:val="22"/>
                  <w:szCs w:val="22"/>
                  <w:lang w:val="en-US"/>
                </w:rPr>
                <m:t>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Gross, spreading,Irrigate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 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NH3, spreading,Irrigated_maize</m:t>
                  </m:r>
                </m:sub>
              </m:sSub>
            </m:e>
          </m:d>
        </m:oMath>
      </m:oMathPara>
    </w:p>
    <w:p w14:paraId="492DF00A" w14:textId="45E37E29" w:rsidR="00931C7C" w:rsidRDefault="00931C7C" w:rsidP="00CB6058">
      <w:pPr>
        <w:rPr>
          <w:lang w:val="en-US"/>
        </w:rPr>
      </w:pPr>
    </w:p>
    <w:p w14:paraId="0DF2B3FE" w14:textId="17DA0ECD" w:rsidR="0053526B" w:rsidRPr="0053526B" w:rsidRDefault="0053526B" w:rsidP="0053526B">
      <w:pPr>
        <w:pStyle w:val="Heading2"/>
      </w:pPr>
      <w:r w:rsidRPr="0053526B">
        <w:t>Summary of operations</w:t>
      </w:r>
    </w:p>
    <w:p w14:paraId="32732E3F" w14:textId="77777777" w:rsidR="0053526B" w:rsidRDefault="0053526B" w:rsidP="00CB6058">
      <w:pPr>
        <w:rPr>
          <w:lang w:val="en-US"/>
        </w:rPr>
      </w:pPr>
    </w:p>
    <w:tbl>
      <w:tblPr>
        <w:tblStyle w:val="TableGrid"/>
        <w:tblW w:w="0" w:type="auto"/>
        <w:tblLook w:val="04A0" w:firstRow="1" w:lastRow="0" w:firstColumn="1" w:lastColumn="0" w:noHBand="0" w:noVBand="1"/>
      </w:tblPr>
      <w:tblGrid>
        <w:gridCol w:w="1696"/>
        <w:gridCol w:w="7654"/>
      </w:tblGrid>
      <w:tr w:rsidR="0053526B" w14:paraId="30B61CE7" w14:textId="77777777" w:rsidTr="0053526B">
        <w:trPr>
          <w:trHeight w:val="583"/>
        </w:trPr>
        <w:tc>
          <w:tcPr>
            <w:tcW w:w="1696" w:type="dxa"/>
            <w:shd w:val="clear" w:color="auto" w:fill="00B0F0"/>
            <w:vAlign w:val="center"/>
          </w:tcPr>
          <w:p w14:paraId="217D3025" w14:textId="23391EF9" w:rsidR="0053526B" w:rsidRPr="0053526B" w:rsidRDefault="0053526B" w:rsidP="0053526B">
            <w:pPr>
              <w:jc w:val="center"/>
              <w:rPr>
                <w:b/>
                <w:bCs/>
                <w:lang w:val="en-US"/>
              </w:rPr>
            </w:pPr>
            <w:r w:rsidRPr="0053526B">
              <w:rPr>
                <w:b/>
                <w:bCs/>
                <w:lang w:val="en-US"/>
              </w:rPr>
              <w:t>Implemented</w:t>
            </w:r>
          </w:p>
        </w:tc>
        <w:tc>
          <w:tcPr>
            <w:tcW w:w="7654" w:type="dxa"/>
          </w:tcPr>
          <w:p w14:paraId="744766C0" w14:textId="77777777" w:rsidR="0053526B" w:rsidRDefault="0053526B" w:rsidP="0053526B">
            <w:pPr>
              <w:pStyle w:val="ListParagraph"/>
              <w:numPr>
                <w:ilvl w:val="0"/>
                <w:numId w:val="3"/>
              </w:numPr>
              <w:rPr>
                <w:lang w:val="en-US"/>
              </w:rPr>
            </w:pPr>
            <w:r>
              <w:rPr>
                <w:lang w:val="en-US"/>
              </w:rPr>
              <w:t>NITROGEN: Runoff losses from recent application of fertilisers (biosolids, manure, synthetic fertilisers) for all crops and for grazing</w:t>
            </w:r>
          </w:p>
          <w:p w14:paraId="5AACC2B2" w14:textId="4CEF2775" w:rsidR="0053526B" w:rsidRPr="0053526B" w:rsidRDefault="0053526B" w:rsidP="0053526B">
            <w:pPr>
              <w:pStyle w:val="ListParagraph"/>
              <w:numPr>
                <w:ilvl w:val="0"/>
                <w:numId w:val="3"/>
              </w:numPr>
              <w:rPr>
                <w:lang w:val="en-US"/>
              </w:rPr>
            </w:pPr>
            <w:proofErr w:type="spellStart"/>
            <w:r>
              <w:rPr>
                <w:lang w:val="en-US"/>
              </w:rPr>
              <w:t>f</w:t>
            </w:r>
            <w:r>
              <w:rPr>
                <w:vertAlign w:val="subscript"/>
                <w:lang w:val="en-US"/>
              </w:rPr>
              <w:t>runoff</w:t>
            </w:r>
            <w:proofErr w:type="spellEnd"/>
            <w:r>
              <w:rPr>
                <w:lang w:val="en-US"/>
              </w:rPr>
              <w:t xml:space="preserve"> calculated using the first approach (land use allocation approach)</w:t>
            </w:r>
          </w:p>
        </w:tc>
      </w:tr>
      <w:tr w:rsidR="0053526B" w14:paraId="526DC2F8" w14:textId="77777777" w:rsidTr="0053526B">
        <w:tc>
          <w:tcPr>
            <w:tcW w:w="1696" w:type="dxa"/>
            <w:shd w:val="clear" w:color="auto" w:fill="00B0F0"/>
            <w:vAlign w:val="center"/>
          </w:tcPr>
          <w:p w14:paraId="557F9585" w14:textId="266713C5" w:rsidR="0053526B" w:rsidRPr="0053526B" w:rsidRDefault="0053526B" w:rsidP="0053526B">
            <w:pPr>
              <w:jc w:val="center"/>
              <w:rPr>
                <w:b/>
                <w:bCs/>
                <w:lang w:val="en-US"/>
              </w:rPr>
            </w:pPr>
            <w:r w:rsidRPr="0053526B">
              <w:rPr>
                <w:b/>
                <w:bCs/>
                <w:lang w:val="en-US"/>
              </w:rPr>
              <w:t>Not implemented yet</w:t>
            </w:r>
          </w:p>
        </w:tc>
        <w:tc>
          <w:tcPr>
            <w:tcW w:w="7654" w:type="dxa"/>
          </w:tcPr>
          <w:p w14:paraId="04177C17" w14:textId="6C93BB67" w:rsidR="0053526B" w:rsidRDefault="0053526B" w:rsidP="0053526B">
            <w:pPr>
              <w:pStyle w:val="ListParagraph"/>
              <w:numPr>
                <w:ilvl w:val="0"/>
                <w:numId w:val="3"/>
              </w:numPr>
              <w:rPr>
                <w:lang w:val="en-US"/>
              </w:rPr>
            </w:pPr>
            <w:r>
              <w:rPr>
                <w:lang w:val="en-US"/>
              </w:rPr>
              <w:t>NITROGEN, PHOSPHORUS: “Memory effect” of runoff losses</w:t>
            </w:r>
          </w:p>
          <w:p w14:paraId="7A894E6F" w14:textId="0092E772" w:rsidR="0053526B" w:rsidRDefault="0053526B" w:rsidP="0053526B">
            <w:pPr>
              <w:pStyle w:val="ListParagraph"/>
              <w:numPr>
                <w:ilvl w:val="0"/>
                <w:numId w:val="3"/>
              </w:numPr>
              <w:rPr>
                <w:lang w:val="en-US"/>
              </w:rPr>
            </w:pPr>
            <w:r>
              <w:rPr>
                <w:lang w:val="en-US"/>
              </w:rPr>
              <w:t xml:space="preserve">NITROGEN, PHOSPHORUS: </w:t>
            </w:r>
            <w:proofErr w:type="spellStart"/>
            <w:r>
              <w:rPr>
                <w:lang w:val="en-US"/>
              </w:rPr>
              <w:t>f</w:t>
            </w:r>
            <w:r>
              <w:rPr>
                <w:vertAlign w:val="subscript"/>
                <w:lang w:val="en-US"/>
              </w:rPr>
              <w:t>runoff</w:t>
            </w:r>
            <w:proofErr w:type="spellEnd"/>
            <w:r>
              <w:rPr>
                <w:lang w:val="en-US"/>
              </w:rPr>
              <w:t xml:space="preserve"> using spatially explicit crop areas</w:t>
            </w:r>
          </w:p>
          <w:p w14:paraId="1A97F3B9" w14:textId="3811D288" w:rsidR="0053526B" w:rsidRPr="0053526B" w:rsidRDefault="0053526B" w:rsidP="0053526B">
            <w:pPr>
              <w:pStyle w:val="ListParagraph"/>
              <w:numPr>
                <w:ilvl w:val="0"/>
                <w:numId w:val="3"/>
              </w:numPr>
              <w:rPr>
                <w:lang w:val="en-US"/>
              </w:rPr>
            </w:pPr>
            <w:r>
              <w:rPr>
                <w:lang w:val="en-US"/>
              </w:rPr>
              <w:t xml:space="preserve">PHOSPHORUS: runoff losses </w:t>
            </w:r>
          </w:p>
        </w:tc>
      </w:tr>
    </w:tbl>
    <w:p w14:paraId="7EEBB61E" w14:textId="77777777" w:rsidR="0053526B" w:rsidRPr="004C590B" w:rsidRDefault="0053526B" w:rsidP="00CB6058">
      <w:pPr>
        <w:rPr>
          <w:lang w:val="en-US"/>
        </w:rPr>
      </w:pPr>
    </w:p>
    <w:sectPr w:rsidR="0053526B" w:rsidRPr="004C5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9D6"/>
    <w:multiLevelType w:val="hybridMultilevel"/>
    <w:tmpl w:val="4432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F22AE"/>
    <w:multiLevelType w:val="hybridMultilevel"/>
    <w:tmpl w:val="1DAE058C"/>
    <w:lvl w:ilvl="0" w:tplc="86F4D0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42A99"/>
    <w:rsid w:val="00095EC2"/>
    <w:rsid w:val="000D290C"/>
    <w:rsid w:val="00145ABA"/>
    <w:rsid w:val="001D620C"/>
    <w:rsid w:val="00280D37"/>
    <w:rsid w:val="00320D38"/>
    <w:rsid w:val="00342902"/>
    <w:rsid w:val="003D2B82"/>
    <w:rsid w:val="00491AA3"/>
    <w:rsid w:val="004C2CF0"/>
    <w:rsid w:val="004C590B"/>
    <w:rsid w:val="00503CB9"/>
    <w:rsid w:val="0053526B"/>
    <w:rsid w:val="005F4561"/>
    <w:rsid w:val="00634D57"/>
    <w:rsid w:val="00655DDF"/>
    <w:rsid w:val="00684D0F"/>
    <w:rsid w:val="00743D83"/>
    <w:rsid w:val="00791BC5"/>
    <w:rsid w:val="007A211B"/>
    <w:rsid w:val="008145F5"/>
    <w:rsid w:val="008B6974"/>
    <w:rsid w:val="008D6AC3"/>
    <w:rsid w:val="008D6DAD"/>
    <w:rsid w:val="00931C7C"/>
    <w:rsid w:val="0093546F"/>
    <w:rsid w:val="009B513E"/>
    <w:rsid w:val="009F03CA"/>
    <w:rsid w:val="00AB281F"/>
    <w:rsid w:val="00B40C70"/>
    <w:rsid w:val="00CB6058"/>
    <w:rsid w:val="00D60EC5"/>
    <w:rsid w:val="00D63B5D"/>
    <w:rsid w:val="00DB5FF2"/>
    <w:rsid w:val="00E017A7"/>
    <w:rsid w:val="00E040BB"/>
    <w:rsid w:val="00E2026A"/>
    <w:rsid w:val="00E45ABF"/>
    <w:rsid w:val="00EC5E16"/>
    <w:rsid w:val="00EF3536"/>
    <w:rsid w:val="00EF4C9C"/>
    <w:rsid w:val="00F55D0C"/>
    <w:rsid w:val="00FE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53526B"/>
    <w:pPr>
      <w:outlineLvl w:val="1"/>
    </w:pPr>
    <w:rPr>
      <w:color w:val="4472C4" w:themeColor="accent1"/>
      <w:sz w:val="28"/>
      <w:szCs w:val="28"/>
      <w:lang w:val="en-US"/>
    </w:rPr>
  </w:style>
  <w:style w:type="paragraph" w:styleId="Heading3">
    <w:name w:val="heading 3"/>
    <w:basedOn w:val="Heading2"/>
    <w:next w:val="Normal"/>
    <w:link w:val="Heading3Char"/>
    <w:uiPriority w:val="9"/>
    <w:unhideWhenUsed/>
    <w:qFormat/>
    <w:rsid w:val="00684D0F"/>
    <w:pPr>
      <w:ind w:firstLine="720"/>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 w:type="character" w:customStyle="1" w:styleId="Heading2Char">
    <w:name w:val="Heading 2 Char"/>
    <w:basedOn w:val="DefaultParagraphFont"/>
    <w:link w:val="Heading2"/>
    <w:uiPriority w:val="9"/>
    <w:rsid w:val="0053526B"/>
    <w:rPr>
      <w:rFonts w:eastAsiaTheme="majorEastAsia" w:cstheme="majorBidi"/>
      <w:b/>
      <w:color w:val="4472C4" w:themeColor="accent1"/>
      <w:sz w:val="28"/>
      <w:szCs w:val="28"/>
    </w:rPr>
  </w:style>
  <w:style w:type="table" w:styleId="PlainTable2">
    <w:name w:val="Plain Table 2"/>
    <w:basedOn w:val="TableNormal"/>
    <w:uiPriority w:val="42"/>
    <w:rsid w:val="00CB60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34D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31C7C"/>
    <w:rPr>
      <w:color w:val="808080"/>
    </w:rPr>
  </w:style>
  <w:style w:type="table" w:styleId="TableGrid">
    <w:name w:val="Table Grid"/>
    <w:basedOn w:val="TableNormal"/>
    <w:uiPriority w:val="39"/>
    <w:rsid w:val="005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4D0F"/>
    <w:rPr>
      <w:rFonts w:eastAsiaTheme="majorEastAsia" w:cstheme="majorBidi"/>
      <w:b/>
      <w:sz w:val="28"/>
      <w:szCs w:val="28"/>
    </w:rPr>
  </w:style>
  <w:style w:type="paragraph" w:styleId="BalloonText">
    <w:name w:val="Balloon Text"/>
    <w:basedOn w:val="Normal"/>
    <w:link w:val="BalloonTextChar"/>
    <w:uiPriority w:val="99"/>
    <w:semiHidden/>
    <w:unhideWhenUsed/>
    <w:rsid w:val="00AB2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1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C38F-8B8A-4085-97A2-38D60A2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39</cp:revision>
  <dcterms:created xsi:type="dcterms:W3CDTF">2020-04-17T09:03:00Z</dcterms:created>
  <dcterms:modified xsi:type="dcterms:W3CDTF">2020-06-26T17:43:00Z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http://www.zotero.org/styles/agriculture-ecosystems-and-environment</vt:lpwstr>
  </property>
  <property fmtid="{D5CDD505-2E9C-101B-9397-08002B2CF9AE}" pid="3" name="Mendeley Recent Style Name 0_1">
    <vt:lpwstr>Agriculture, Ecosystems and Environment</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208b5057-1657-3b4b-bfbf-f7e62b114546</vt:lpwstr>
  </property>
  <property fmtid="{D5CDD505-2E9C-101B-9397-08002B2CF9AE}" pid="24" name="Mendeley Citation Style_1">
    <vt:lpwstr>http://www.zotero.org/styles/agriculture-ecosystems-and-environment</vt:lpwstr>
  </property>
</Properties>
</file>