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0926A" w14:textId="1C102702" w:rsidR="00EF4C9C" w:rsidRDefault="00EF4C9C" w:rsidP="00CB6058">
      <w:pPr>
        <w:pStyle w:val="Heading1"/>
        <w:rPr>
          <w:lang w:val="en-US"/>
        </w:rPr>
      </w:pPr>
      <w:r>
        <w:rPr>
          <w:lang w:val="en-US"/>
        </w:rPr>
        <w:t>Atmospheric deposition</w:t>
      </w:r>
    </w:p>
    <w:p w14:paraId="32B541AF" w14:textId="07579FDE" w:rsidR="00EF4C9C" w:rsidRDefault="00EF4C9C" w:rsidP="00EF4C9C">
      <w:pPr>
        <w:rPr>
          <w:lang w:val="en-US"/>
        </w:rPr>
      </w:pPr>
    </w:p>
    <w:p w14:paraId="6148F3E6" w14:textId="7E2E772D" w:rsidR="00EF4C9C" w:rsidRDefault="00EF4C9C" w:rsidP="00EF4C9C">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(i;1987-1999), atmospheric N deposition was scaled according to total annual ammonia emissions and using the year 2000 as baseline.</w:t>
      </w:r>
    </w:p>
    <w:p w14:paraId="0FB56828" w14:textId="72DDA8B7" w:rsidR="00EF4C9C" w:rsidRDefault="00D60EC5" w:rsidP="00EF4C9C">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F9DC2B9" w14:textId="2C1D7A17" w:rsidR="00EF4C9C" w:rsidRDefault="00EF4C9C" w:rsidP="00EF4C9C">
      <w:pPr>
        <w:rPr>
          <w:lang w:val="en-US"/>
        </w:rPr>
      </w:pPr>
      <w:r>
        <w:rPr>
          <w:lang w:val="en-US"/>
        </w:rPr>
        <w:t xml:space="preserve">Atmospheric N deposition was calculated separately for the </w:t>
      </w:r>
      <w:proofErr w:type="spellStart"/>
      <w:r>
        <w:rPr>
          <w:lang w:val="en-US"/>
        </w:rPr>
        <w:t>the</w:t>
      </w:r>
      <w:proofErr w:type="spellEnd"/>
      <w:r>
        <w:rPr>
          <w:lang w:val="en-US"/>
        </w:rPr>
        <w:t xml:space="preserve"> different </w:t>
      </w:r>
      <w:proofErr w:type="spellStart"/>
      <w:r>
        <w:rPr>
          <w:lang w:val="en-US"/>
        </w:rPr>
        <w:t>fertiliser</w:t>
      </w:r>
      <w:proofErr w:type="spellEnd"/>
      <w:r>
        <w:rPr>
          <w:lang w:val="en-US"/>
        </w:rPr>
        <w:t xml:space="preserve">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p>
    <w:p w14:paraId="01E18E04" w14:textId="59EED445" w:rsidR="007A211B" w:rsidRDefault="007A211B" w:rsidP="00EF4C9C">
      <w:pPr>
        <w:rPr>
          <w:lang w:val="en-US"/>
        </w:rPr>
      </w:pPr>
    </w:p>
    <w:p w14:paraId="3A5233B5" w14:textId="04B5F6EB" w:rsidR="007A211B" w:rsidRDefault="007A211B" w:rsidP="007A211B">
      <w:pPr>
        <w:pStyle w:val="Heading1"/>
        <w:rPr>
          <w:lang w:val="en-US"/>
        </w:rPr>
      </w:pPr>
      <w:r>
        <w:rPr>
          <w:lang w:val="en-US"/>
        </w:rPr>
        <w:t>Fodder production</w:t>
      </w:r>
    </w:p>
    <w:p w14:paraId="53CE48FF" w14:textId="77F1160A" w:rsidR="007A211B" w:rsidRDefault="00E2026A" w:rsidP="00E2026A">
      <w:pPr>
        <w:pStyle w:val="Heading3"/>
      </w:pPr>
      <w:r>
        <w:t>Getting other animal population for sheep and goat</w:t>
      </w:r>
    </w:p>
    <w:p w14:paraId="76E78387" w14:textId="09B92427" w:rsidR="00E2026A" w:rsidRDefault="00E2026A" w:rsidP="00E2026A">
      <w:pPr>
        <w:rPr>
          <w:lang w:val="en-US"/>
        </w:rPr>
      </w:pPr>
    </w:p>
    <w:p w14:paraId="1EACA916" w14:textId="6598A047" w:rsidR="00E2026A" w:rsidRDefault="00E2026A" w:rsidP="00E2026A">
      <w:pPr>
        <w:rPr>
          <w:lang w:val="en-US"/>
        </w:rPr>
      </w:pPr>
      <w:r>
        <w:rPr>
          <w:lang w:val="en-US"/>
        </w:rPr>
        <w:t xml:space="preserve">The remaining sub-modules calculate sheep and goat nutrient flows based on the total population as the N excretion already includes for younglings and the N excretion rate is the same for these categories. </w:t>
      </w:r>
      <w:proofErr w:type="gramStart"/>
      <w:r>
        <w:rPr>
          <w:lang w:val="en-US"/>
        </w:rPr>
        <w:t>In order to</w:t>
      </w:r>
      <w:proofErr w:type="gramEnd"/>
      <w:r>
        <w:rPr>
          <w:lang w:val="en-US"/>
        </w:rPr>
        <w:t xml:space="preserve"> properly calculate the energy requirement for growth and lactation, these populations were disaggregated according to Statistics Portugal data. Data was collected at the 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E2026A">
      <w:pPr>
        <w:rPr>
          <w:lang w:val="en-US"/>
        </w:rPr>
      </w:pPr>
      <w:r>
        <w:rPr>
          <w:lang w:val="en-US"/>
        </w:rPr>
        <w:t xml:space="preserve">Similarly, sheep and goat milk production were collated from Statistics Portugal. The same procedure was used as in dairy </w:t>
      </w:r>
      <w:proofErr w:type="gramStart"/>
      <w:r>
        <w:rPr>
          <w:lang w:val="en-US"/>
        </w:rPr>
        <w:t>cows’</w:t>
      </w:r>
      <w:proofErr w:type="gramEnd"/>
      <w:r>
        <w:rPr>
          <w:lang w:val="en-US"/>
        </w:rPr>
        <w:t>.</w:t>
      </w:r>
    </w:p>
    <w:p w14:paraId="4F2F78D9" w14:textId="74F7B952" w:rsidR="00145ABA" w:rsidRDefault="00145ABA" w:rsidP="00E2026A">
      <w:pPr>
        <w:rPr>
          <w:lang w:val="en-US"/>
        </w:rPr>
      </w:pPr>
      <w:r w:rsidRPr="00E040BB">
        <w:rPr>
          <w:highlight w:val="yellow"/>
          <w:lang w:val="en-US"/>
        </w:rPr>
        <w:t>Because goat population data does not account for milking goats, it was assumed that 10% of the goats (</w:t>
      </w:r>
      <w:proofErr w:type="spellStart"/>
      <w:r w:rsidRPr="00E040BB">
        <w:rPr>
          <w:highlight w:val="yellow"/>
          <w:lang w:val="en-US"/>
        </w:rPr>
        <w:t>var_id</w:t>
      </w:r>
      <w:proofErr w:type="spellEnd"/>
      <w:r w:rsidRPr="00E040BB">
        <w:rPr>
          <w:highlight w:val="yellow"/>
          <w:lang w:val="en-US"/>
        </w:rPr>
        <w:t xml:space="preserve"> = ‘11’) are lactating.</w:t>
      </w:r>
      <w:r w:rsidR="004C2CF0" w:rsidRPr="00E040BB">
        <w:rPr>
          <w:highlight w:val="yellow"/>
          <w:lang w:val="en-US"/>
        </w:rPr>
        <w:t xml:space="preserve"> When interpolating milk produced per head, a minimum of 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5876CC61" w14:textId="41FFB0CF" w:rsidR="00F55D0C" w:rsidRPr="00E2026A" w:rsidRDefault="008D6AC3" w:rsidP="008D6AC3">
      <w:pPr>
        <w:pStyle w:val="Heading3"/>
      </w:pPr>
      <w:r>
        <w:t>Energy requirements</w:t>
      </w:r>
    </w:p>
    <w:p w14:paraId="20361F75" w14:textId="77777777" w:rsidR="001D620C" w:rsidRDefault="001D620C" w:rsidP="007A211B">
      <w:pPr>
        <w:rPr>
          <w:lang w:val="en-US"/>
        </w:rPr>
      </w:pPr>
    </w:p>
    <w:p w14:paraId="5755F265" w14:textId="2481BCD6" w:rsidR="007A211B" w:rsidRDefault="007A211B" w:rsidP="007A211B">
      <w:pPr>
        <w:rPr>
          <w:lang w:val="en-US"/>
        </w:rPr>
      </w:pPr>
      <w:r>
        <w:rPr>
          <w:lang w:val="en-US"/>
        </w:rPr>
        <w:t xml:space="preserve">Net energy for activity, </w:t>
      </w:r>
      <w:proofErr w:type="spellStart"/>
      <w:r>
        <w:rPr>
          <w:lang w:val="en-US"/>
        </w:rPr>
        <w:t>C</w:t>
      </w:r>
      <w:r>
        <w:rPr>
          <w:vertAlign w:val="subscript"/>
          <w:lang w:val="en-US"/>
        </w:rPr>
        <w:t>act</w:t>
      </w:r>
      <w:proofErr w:type="spellEnd"/>
      <w:r>
        <w:rPr>
          <w:lang w:val="en-US"/>
        </w:rPr>
        <w:t xml:space="preserve"> was disaggregated for large and small grazing ruminants per agrarian region (Table X).</w:t>
      </w:r>
    </w:p>
    <w:p w14:paraId="1A2AC8C7" w14:textId="77777777" w:rsidR="007A211B" w:rsidRDefault="007A211B" w:rsidP="007A211B">
      <w:pPr>
        <w:rPr>
          <w:lang w:val="en-US"/>
        </w:rPr>
      </w:pPr>
    </w:p>
    <w:p w14:paraId="12732ED5" w14:textId="5D578CE0" w:rsidR="007A211B" w:rsidRPr="007A211B" w:rsidRDefault="007A211B" w:rsidP="007A211B">
      <w:pPr>
        <w:pStyle w:val="Caption"/>
        <w:keepNext/>
        <w:rPr>
          <w:i w:val="0"/>
          <w:iCs w:val="0"/>
          <w:color w:val="auto"/>
          <w:sz w:val="24"/>
          <w:szCs w:val="24"/>
        </w:rPr>
      </w:pPr>
      <w:r w:rsidRPr="007A211B">
        <w:rPr>
          <w:i w:val="0"/>
          <w:iCs w:val="0"/>
          <w:color w:val="auto"/>
          <w:sz w:val="24"/>
          <w:szCs w:val="24"/>
        </w:rPr>
        <w:lastRenderedPageBreak/>
        <w:t xml:space="preserve">Table </w:t>
      </w:r>
      <w:r w:rsidRPr="007A211B">
        <w:rPr>
          <w:i w:val="0"/>
          <w:iCs w:val="0"/>
          <w:color w:val="auto"/>
          <w:sz w:val="24"/>
          <w:szCs w:val="24"/>
        </w:rPr>
        <w:fldChar w:fldCharType="begin"/>
      </w:r>
      <w:r w:rsidRPr="007A211B">
        <w:rPr>
          <w:i w:val="0"/>
          <w:iCs w:val="0"/>
          <w:color w:val="auto"/>
          <w:sz w:val="24"/>
          <w:szCs w:val="24"/>
        </w:rPr>
        <w:instrText xml:space="preserve"> SEQ Table \* ARABIC </w:instrText>
      </w:r>
      <w:r w:rsidRPr="007A211B">
        <w:rPr>
          <w:i w:val="0"/>
          <w:iCs w:val="0"/>
          <w:color w:val="auto"/>
          <w:sz w:val="24"/>
          <w:szCs w:val="24"/>
        </w:rPr>
        <w:fldChar w:fldCharType="separate"/>
      </w:r>
      <w:r w:rsidRPr="007A211B">
        <w:rPr>
          <w:i w:val="0"/>
          <w:iCs w:val="0"/>
          <w:noProof/>
          <w:color w:val="auto"/>
          <w:sz w:val="24"/>
          <w:szCs w:val="24"/>
        </w:rPr>
        <w:t>1</w:t>
      </w:r>
      <w:r w:rsidRPr="007A211B">
        <w:rPr>
          <w:i w:val="0"/>
          <w:iCs w:val="0"/>
          <w:color w:val="auto"/>
          <w:sz w:val="24"/>
          <w:szCs w:val="24"/>
        </w:rPr>
        <w:fldChar w:fldCharType="end"/>
      </w:r>
      <w:r w:rsidRPr="007A211B">
        <w:rPr>
          <w:i w:val="0"/>
          <w:iCs w:val="0"/>
          <w:color w:val="auto"/>
          <w:sz w:val="24"/>
          <w:szCs w:val="24"/>
        </w:rPr>
        <w:t>. Assumptions for the allocation of the coefficient for different feeding situations (</w:t>
      </w:r>
      <w:proofErr w:type="spellStart"/>
      <w:r w:rsidRPr="007A211B">
        <w:rPr>
          <w:i w:val="0"/>
          <w:iCs w:val="0"/>
          <w:color w:val="auto"/>
          <w:sz w:val="24"/>
          <w:szCs w:val="24"/>
        </w:rPr>
        <w:t>C</w:t>
      </w:r>
      <w:r w:rsidRPr="007A211B">
        <w:rPr>
          <w:i w:val="0"/>
          <w:iCs w:val="0"/>
          <w:color w:val="auto"/>
          <w:sz w:val="24"/>
          <w:szCs w:val="24"/>
          <w:vertAlign w:val="subscript"/>
        </w:rPr>
        <w:t>act</w:t>
      </w:r>
      <w:proofErr w:type="spellEnd"/>
      <w:r w:rsidRPr="007A211B">
        <w:rPr>
          <w:i w:val="0"/>
          <w:iCs w:val="0"/>
          <w:color w:val="auto"/>
          <w:sz w:val="24"/>
          <w:szCs w:val="24"/>
        </w:rPr>
        <w:t xml:space="preserve">; Table 3.26 GLEAMS model description) under the different agrarian regions. </w:t>
      </w:r>
    </w:p>
    <w:tbl>
      <w:tblPr>
        <w:tblStyle w:val="PlainTable2"/>
        <w:tblW w:w="0" w:type="auto"/>
        <w:tblLook w:val="04A0" w:firstRow="1" w:lastRow="0" w:firstColumn="1" w:lastColumn="0" w:noHBand="0" w:noVBand="1"/>
      </w:tblPr>
      <w:tblGrid>
        <w:gridCol w:w="1984"/>
        <w:gridCol w:w="3090"/>
        <w:gridCol w:w="3572"/>
      </w:tblGrid>
      <w:tr w:rsidR="007A211B" w14:paraId="57759C82" w14:textId="77777777" w:rsidTr="007A2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615024C5" w14:textId="2C68A41A" w:rsidR="007A211B" w:rsidRPr="007A211B" w:rsidRDefault="007A211B" w:rsidP="007A211B">
            <w:pPr>
              <w:rPr>
                <w:lang w:val="en-US"/>
              </w:rPr>
            </w:pPr>
            <w:r w:rsidRPr="007A211B">
              <w:rPr>
                <w:lang w:val="en-US"/>
              </w:rPr>
              <w:t>Animal division</w:t>
            </w:r>
          </w:p>
        </w:tc>
        <w:tc>
          <w:tcPr>
            <w:tcW w:w="3090" w:type="dxa"/>
          </w:tcPr>
          <w:p w14:paraId="3E6F4EFA" w14:textId="4D6FEAE6" w:rsidR="007A211B" w:rsidRPr="007A211B" w:rsidRDefault="007A211B" w:rsidP="007A211B">
            <w:pPr>
              <w:cnfStyle w:val="100000000000" w:firstRow="1" w:lastRow="0" w:firstColumn="0" w:lastColumn="0" w:oddVBand="0" w:evenVBand="0" w:oddHBand="0" w:evenHBand="0" w:firstRowFirstColumn="0" w:firstRowLastColumn="0" w:lastRowFirstColumn="0" w:lastRowLastColumn="0"/>
              <w:rPr>
                <w:vertAlign w:val="subscript"/>
                <w:lang w:val="en-US"/>
              </w:rPr>
            </w:pPr>
            <w:proofErr w:type="spellStart"/>
            <w:r w:rsidRPr="007A211B">
              <w:rPr>
                <w:lang w:val="en-US"/>
              </w:rPr>
              <w:t>C</w:t>
            </w:r>
            <w:r w:rsidRPr="007A211B">
              <w:rPr>
                <w:vertAlign w:val="subscript"/>
                <w:lang w:val="en-US"/>
              </w:rPr>
              <w:t>act</w:t>
            </w:r>
            <w:proofErr w:type="spellEnd"/>
            <w:r w:rsidRPr="007A211B">
              <w:rPr>
                <w:vertAlign w:val="subscript"/>
                <w:lang w:val="en-US"/>
              </w:rPr>
              <w:t>, grazing</w:t>
            </w:r>
          </w:p>
        </w:tc>
        <w:tc>
          <w:tcPr>
            <w:tcW w:w="3572" w:type="dxa"/>
          </w:tcPr>
          <w:p w14:paraId="4F35A130" w14:textId="4027F012" w:rsidR="007A211B" w:rsidRPr="007A211B" w:rsidRDefault="007A211B" w:rsidP="007A211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7A211B">
              <w:rPr>
                <w:lang w:val="en-US"/>
              </w:rPr>
              <w:t>Agrarian_region_ids</w:t>
            </w:r>
            <w:proofErr w:type="spellEnd"/>
          </w:p>
        </w:tc>
      </w:tr>
      <w:tr w:rsidR="007A211B" w14:paraId="7EF1F3BB" w14:textId="77777777" w:rsidTr="007A2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vMerge w:val="restart"/>
          </w:tcPr>
          <w:p w14:paraId="3309C3B8" w14:textId="31A0679D" w:rsidR="007A211B" w:rsidRPr="007A211B" w:rsidRDefault="007A211B" w:rsidP="007A211B">
            <w:pPr>
              <w:rPr>
                <w:b w:val="0"/>
                <w:bCs w:val="0"/>
                <w:lang w:val="en-US"/>
              </w:rPr>
            </w:pPr>
            <w:r w:rsidRPr="007A211B">
              <w:rPr>
                <w:b w:val="0"/>
                <w:bCs w:val="0"/>
                <w:lang w:val="en-US"/>
              </w:rPr>
              <w:t>Large ruminants</w:t>
            </w:r>
          </w:p>
        </w:tc>
        <w:tc>
          <w:tcPr>
            <w:tcW w:w="3090" w:type="dxa"/>
          </w:tcPr>
          <w:p w14:paraId="5601FA8C" w14:textId="5A9F79A0" w:rsidR="007A211B" w:rsidRDefault="007A211B" w:rsidP="007A211B">
            <w:pPr>
              <w:cnfStyle w:val="000000100000" w:firstRow="0" w:lastRow="0" w:firstColumn="0" w:lastColumn="0" w:oddVBand="0" w:evenVBand="0" w:oddHBand="1" w:evenHBand="0" w:firstRowFirstColumn="0" w:firstRowLastColumn="0" w:lastRowFirstColumn="0" w:lastRowLastColumn="0"/>
              <w:rPr>
                <w:lang w:val="en-US"/>
              </w:rPr>
            </w:pPr>
            <w:r>
              <w:rPr>
                <w:lang w:val="en-US"/>
              </w:rPr>
              <w:t>Grazing in areas with sufficient forage</w:t>
            </w:r>
          </w:p>
        </w:tc>
        <w:tc>
          <w:tcPr>
            <w:tcW w:w="3572" w:type="dxa"/>
          </w:tcPr>
          <w:p w14:paraId="24F5A61A" w14:textId="44D1C950" w:rsidR="007A211B" w:rsidRDefault="007A211B" w:rsidP="007A211B">
            <w:pPr>
              <w:cnfStyle w:val="000000100000" w:firstRow="0" w:lastRow="0" w:firstColumn="0" w:lastColumn="0" w:oddVBand="0" w:evenVBand="0" w:oddHBand="1" w:evenHBand="0" w:firstRowFirstColumn="0" w:firstRowLastColumn="0" w:lastRowFirstColumn="0" w:lastRowLastColumn="0"/>
              <w:rPr>
                <w:lang w:val="en-US"/>
              </w:rPr>
            </w:pPr>
            <w:r>
              <w:rPr>
                <w:lang w:val="en-US"/>
              </w:rPr>
              <w:t>1, 2, 3, 4</w:t>
            </w:r>
          </w:p>
        </w:tc>
      </w:tr>
      <w:tr w:rsidR="007A211B" w14:paraId="65CF90C0" w14:textId="77777777" w:rsidTr="007A211B">
        <w:tc>
          <w:tcPr>
            <w:cnfStyle w:val="001000000000" w:firstRow="0" w:lastRow="0" w:firstColumn="1" w:lastColumn="0" w:oddVBand="0" w:evenVBand="0" w:oddHBand="0" w:evenHBand="0" w:firstRowFirstColumn="0" w:firstRowLastColumn="0" w:lastRowFirstColumn="0" w:lastRowLastColumn="0"/>
            <w:tcW w:w="1984" w:type="dxa"/>
            <w:vMerge/>
          </w:tcPr>
          <w:p w14:paraId="3DE9BD76" w14:textId="77777777" w:rsidR="007A211B" w:rsidRPr="007A211B" w:rsidRDefault="007A211B" w:rsidP="007A211B">
            <w:pPr>
              <w:rPr>
                <w:b w:val="0"/>
                <w:bCs w:val="0"/>
                <w:lang w:val="en-US"/>
              </w:rPr>
            </w:pPr>
          </w:p>
        </w:tc>
        <w:tc>
          <w:tcPr>
            <w:tcW w:w="3090" w:type="dxa"/>
          </w:tcPr>
          <w:p w14:paraId="2320474B" w14:textId="18A64675" w:rsidR="007A211B" w:rsidRDefault="007A211B" w:rsidP="007A211B">
            <w:pPr>
              <w:cnfStyle w:val="000000000000" w:firstRow="0" w:lastRow="0" w:firstColumn="0" w:lastColumn="0" w:oddVBand="0" w:evenVBand="0" w:oddHBand="0" w:evenHBand="0" w:firstRowFirstColumn="0" w:firstRowLastColumn="0" w:lastRowFirstColumn="0" w:lastRowLastColumn="0"/>
              <w:rPr>
                <w:lang w:val="en-US"/>
              </w:rPr>
            </w:pPr>
            <w:r>
              <w:rPr>
                <w:lang w:val="en-US"/>
              </w:rPr>
              <w:t>Grazing in large areas</w:t>
            </w:r>
          </w:p>
        </w:tc>
        <w:tc>
          <w:tcPr>
            <w:tcW w:w="3572" w:type="dxa"/>
          </w:tcPr>
          <w:p w14:paraId="285BD38D" w14:textId="631A4DBA" w:rsidR="007A211B" w:rsidRDefault="007A211B" w:rsidP="007A211B">
            <w:pPr>
              <w:cnfStyle w:val="000000000000" w:firstRow="0" w:lastRow="0" w:firstColumn="0" w:lastColumn="0" w:oddVBand="0" w:evenVBand="0" w:oddHBand="0" w:evenHBand="0" w:firstRowFirstColumn="0" w:firstRowLastColumn="0" w:lastRowFirstColumn="0" w:lastRowLastColumn="0"/>
              <w:rPr>
                <w:lang w:val="en-US"/>
              </w:rPr>
            </w:pPr>
            <w:r>
              <w:rPr>
                <w:lang w:val="en-US"/>
              </w:rPr>
              <w:t>5, 6, 7</w:t>
            </w:r>
          </w:p>
        </w:tc>
      </w:tr>
      <w:tr w:rsidR="007A211B" w14:paraId="632B8712" w14:textId="77777777" w:rsidTr="007A2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vMerge w:val="restart"/>
          </w:tcPr>
          <w:p w14:paraId="2D91DD86" w14:textId="42F0408E" w:rsidR="007A211B" w:rsidRPr="007A211B" w:rsidRDefault="007A211B" w:rsidP="007A211B">
            <w:pPr>
              <w:rPr>
                <w:b w:val="0"/>
                <w:bCs w:val="0"/>
                <w:lang w:val="en-US"/>
              </w:rPr>
            </w:pPr>
            <w:r w:rsidRPr="007A211B">
              <w:rPr>
                <w:b w:val="0"/>
                <w:bCs w:val="0"/>
                <w:lang w:val="en-US"/>
              </w:rPr>
              <w:t>Small ruminants</w:t>
            </w:r>
          </w:p>
        </w:tc>
        <w:tc>
          <w:tcPr>
            <w:tcW w:w="3090" w:type="dxa"/>
          </w:tcPr>
          <w:p w14:paraId="66F10F5B" w14:textId="4B16323B" w:rsidR="007A211B" w:rsidRDefault="007A211B" w:rsidP="007A211B">
            <w:pPr>
              <w:cnfStyle w:val="000000100000" w:firstRow="0" w:lastRow="0" w:firstColumn="0" w:lastColumn="0" w:oddVBand="0" w:evenVBand="0" w:oddHBand="1" w:evenHBand="0" w:firstRowFirstColumn="0" w:firstRowLastColumn="0" w:lastRowFirstColumn="0" w:lastRowLastColumn="0"/>
              <w:rPr>
                <w:lang w:val="en-US"/>
              </w:rPr>
            </w:pPr>
            <w:r>
              <w:rPr>
                <w:lang w:val="en-US"/>
              </w:rPr>
              <w:t>Grazing in flat pasture</w:t>
            </w:r>
          </w:p>
        </w:tc>
        <w:tc>
          <w:tcPr>
            <w:tcW w:w="3572" w:type="dxa"/>
          </w:tcPr>
          <w:p w14:paraId="48E70EB1" w14:textId="4941B927" w:rsidR="007A211B" w:rsidRDefault="007A211B" w:rsidP="007A211B">
            <w:pPr>
              <w:cnfStyle w:val="000000100000" w:firstRow="0" w:lastRow="0" w:firstColumn="0" w:lastColumn="0" w:oddVBand="0" w:evenVBand="0" w:oddHBand="1" w:evenHBand="0" w:firstRowFirstColumn="0" w:firstRowLastColumn="0" w:lastRowFirstColumn="0" w:lastRowLastColumn="0"/>
              <w:rPr>
                <w:lang w:val="en-US"/>
              </w:rPr>
            </w:pPr>
            <w:r>
              <w:rPr>
                <w:lang w:val="en-US"/>
              </w:rPr>
              <w:t>1, 2, 3, 4</w:t>
            </w:r>
          </w:p>
        </w:tc>
      </w:tr>
      <w:tr w:rsidR="007A211B" w14:paraId="335D7821" w14:textId="77777777" w:rsidTr="007A211B">
        <w:tc>
          <w:tcPr>
            <w:cnfStyle w:val="001000000000" w:firstRow="0" w:lastRow="0" w:firstColumn="1" w:lastColumn="0" w:oddVBand="0" w:evenVBand="0" w:oddHBand="0" w:evenHBand="0" w:firstRowFirstColumn="0" w:firstRowLastColumn="0" w:lastRowFirstColumn="0" w:lastRowLastColumn="0"/>
            <w:tcW w:w="1984" w:type="dxa"/>
            <w:vMerge/>
          </w:tcPr>
          <w:p w14:paraId="2FB6CD8E" w14:textId="77777777" w:rsidR="007A211B" w:rsidRDefault="007A211B" w:rsidP="007A211B">
            <w:pPr>
              <w:rPr>
                <w:lang w:val="en-US"/>
              </w:rPr>
            </w:pPr>
          </w:p>
        </w:tc>
        <w:tc>
          <w:tcPr>
            <w:tcW w:w="3090" w:type="dxa"/>
          </w:tcPr>
          <w:p w14:paraId="17E9B786" w14:textId="4FEC1A39" w:rsidR="007A211B" w:rsidRDefault="007A211B" w:rsidP="007A211B">
            <w:pPr>
              <w:cnfStyle w:val="000000000000" w:firstRow="0" w:lastRow="0" w:firstColumn="0" w:lastColumn="0" w:oddVBand="0" w:evenVBand="0" w:oddHBand="0" w:evenHBand="0" w:firstRowFirstColumn="0" w:firstRowLastColumn="0" w:lastRowFirstColumn="0" w:lastRowLastColumn="0"/>
              <w:rPr>
                <w:lang w:val="en-US"/>
              </w:rPr>
            </w:pPr>
            <w:r>
              <w:rPr>
                <w:lang w:val="en-US"/>
              </w:rPr>
              <w:t>Grazing in hilly pasture</w:t>
            </w:r>
          </w:p>
        </w:tc>
        <w:tc>
          <w:tcPr>
            <w:tcW w:w="3572" w:type="dxa"/>
          </w:tcPr>
          <w:p w14:paraId="7C325E6D" w14:textId="5785C6AB" w:rsidR="007A211B" w:rsidRDefault="007A211B" w:rsidP="007A211B">
            <w:pPr>
              <w:cnfStyle w:val="000000000000" w:firstRow="0" w:lastRow="0" w:firstColumn="0" w:lastColumn="0" w:oddVBand="0" w:evenVBand="0" w:oddHBand="0" w:evenHBand="0" w:firstRowFirstColumn="0" w:firstRowLastColumn="0" w:lastRowFirstColumn="0" w:lastRowLastColumn="0"/>
              <w:rPr>
                <w:lang w:val="en-US"/>
              </w:rPr>
            </w:pPr>
            <w:r>
              <w:rPr>
                <w:lang w:val="en-US"/>
              </w:rPr>
              <w:t>5, 6, 7</w:t>
            </w:r>
          </w:p>
        </w:tc>
      </w:tr>
    </w:tbl>
    <w:p w14:paraId="35613141" w14:textId="77777777" w:rsidR="007A211B" w:rsidRPr="007A211B" w:rsidRDefault="007A211B" w:rsidP="007A211B">
      <w:pPr>
        <w:rPr>
          <w:lang w:val="en-US"/>
        </w:rPr>
      </w:pPr>
    </w:p>
    <w:p w14:paraId="57A953C0" w14:textId="15FECDC9" w:rsidR="007A211B" w:rsidRDefault="007A211B" w:rsidP="00EF4C9C">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40F5C06C" w:rsidR="00D60EC5" w:rsidRDefault="00D60EC5" w:rsidP="00D60EC5">
      <w:pPr>
        <w:ind w:firstLine="720"/>
        <w:rPr>
          <w:lang w:val="en-US"/>
        </w:rPr>
      </w:pPr>
    </w:p>
    <w:p w14:paraId="2EE3B345" w14:textId="70613535" w:rsidR="00D60EC5" w:rsidRDefault="00D60EC5" w:rsidP="00D60EC5">
      <w:pPr>
        <w:ind w:firstLine="720"/>
        <w:rPr>
          <w:lang w:val="en-US"/>
        </w:rPr>
      </w:pPr>
    </w:p>
    <w:p w14:paraId="5C43159C" w14:textId="14A0D61E" w:rsidR="00D60EC5" w:rsidRDefault="00D60EC5" w:rsidP="00D60EC5">
      <w:pPr>
        <w:ind w:firstLine="720"/>
        <w:rPr>
          <w:lang w:val="en-US"/>
        </w:rPr>
      </w:pPr>
    </w:p>
    <w:p w14:paraId="79430B92" w14:textId="1C1FD59B" w:rsidR="00D60EC5" w:rsidRDefault="00D60EC5" w:rsidP="00D60EC5">
      <w:pPr>
        <w:ind w:firstLine="720"/>
        <w:rPr>
          <w:lang w:val="en-US"/>
        </w:rPr>
      </w:pPr>
    </w:p>
    <w:p w14:paraId="0C524EA3" w14:textId="4C9F86F3" w:rsidR="00D60EC5" w:rsidRDefault="00D60EC5" w:rsidP="00D60EC5">
      <w:pPr>
        <w:ind w:firstLine="720"/>
        <w:rPr>
          <w:lang w:val="en-US"/>
        </w:rPr>
      </w:pPr>
    </w:p>
    <w:p w14:paraId="1F08F9E9" w14:textId="36682D1F" w:rsidR="00D60EC5" w:rsidRDefault="00D60EC5" w:rsidP="00D60EC5">
      <w:pPr>
        <w:ind w:firstLine="720"/>
        <w:rPr>
          <w:lang w:val="en-US"/>
        </w:rPr>
      </w:pPr>
    </w:p>
    <w:p w14:paraId="5597D10E" w14:textId="3C3BFB46" w:rsidR="00D60EC5" w:rsidRDefault="00D60EC5" w:rsidP="00D60EC5">
      <w:pPr>
        <w:ind w:firstLine="720"/>
        <w:rPr>
          <w:lang w:val="en-US"/>
        </w:rPr>
      </w:pPr>
    </w:p>
    <w:p w14:paraId="64238990" w14:textId="4261510C" w:rsidR="00D60EC5" w:rsidRDefault="00D60EC5" w:rsidP="00D60EC5">
      <w:pPr>
        <w:ind w:firstLine="720"/>
        <w:rPr>
          <w:lang w:val="en-US"/>
        </w:rPr>
      </w:pPr>
    </w:p>
    <w:p w14:paraId="2A6F1D3E" w14:textId="03C18BE0" w:rsidR="00D60EC5" w:rsidRDefault="00D60EC5" w:rsidP="00D60EC5">
      <w:pPr>
        <w:ind w:firstLine="720"/>
        <w:rPr>
          <w:lang w:val="en-US"/>
        </w:rPr>
      </w:pPr>
    </w:p>
    <w:p w14:paraId="331FB444" w14:textId="62536EC4" w:rsidR="00D60EC5" w:rsidRDefault="00D60EC5" w:rsidP="00D60EC5">
      <w:pPr>
        <w:ind w:firstLine="720"/>
        <w:rPr>
          <w:lang w:val="en-US"/>
        </w:rPr>
      </w:pPr>
    </w:p>
    <w:p w14:paraId="35CD3BC8" w14:textId="1D7B34AF" w:rsidR="00D60EC5" w:rsidRDefault="00D60EC5" w:rsidP="00D60EC5">
      <w:pPr>
        <w:ind w:firstLine="720"/>
        <w:rPr>
          <w:lang w:val="en-US"/>
        </w:rPr>
      </w:pPr>
    </w:p>
    <w:p w14:paraId="1AA0ECED" w14:textId="2AAE0149" w:rsidR="00D60EC5" w:rsidRDefault="00D60EC5" w:rsidP="00D60EC5">
      <w:pPr>
        <w:ind w:firstLine="720"/>
        <w:rPr>
          <w:lang w:val="en-US"/>
        </w:rPr>
      </w:pPr>
    </w:p>
    <w:p w14:paraId="70742868" w14:textId="333F0449" w:rsidR="00D60EC5" w:rsidRDefault="00D60EC5" w:rsidP="00D60EC5">
      <w:pPr>
        <w:ind w:firstLine="720"/>
        <w:rPr>
          <w:lang w:val="en-US"/>
        </w:rPr>
      </w:pPr>
    </w:p>
    <w:p w14:paraId="13942A95" w14:textId="3632433D" w:rsidR="00D60EC5" w:rsidRDefault="00D60EC5" w:rsidP="00D60EC5">
      <w:pPr>
        <w:ind w:firstLine="720"/>
        <w:rPr>
          <w:lang w:val="en-US"/>
        </w:rPr>
      </w:pPr>
    </w:p>
    <w:p w14:paraId="414A3BF9" w14:textId="57EB9DDE" w:rsidR="00D60EC5" w:rsidRDefault="00D60EC5" w:rsidP="00D60EC5">
      <w:pPr>
        <w:ind w:firstLine="720"/>
        <w:rPr>
          <w:lang w:val="en-US"/>
        </w:rPr>
      </w:pPr>
    </w:p>
    <w:p w14:paraId="05142265" w14:textId="707840E0" w:rsidR="00D60EC5" w:rsidRDefault="00D60EC5" w:rsidP="00D60EC5">
      <w:pPr>
        <w:ind w:firstLine="720"/>
        <w:rPr>
          <w:lang w:val="en-US"/>
        </w:rPr>
      </w:pPr>
    </w:p>
    <w:p w14:paraId="505DB674" w14:textId="362D5B54" w:rsidR="00D60EC5" w:rsidRDefault="00D60EC5" w:rsidP="00D60EC5">
      <w:pPr>
        <w:ind w:firstLine="720"/>
        <w:rPr>
          <w:lang w:val="en-US"/>
        </w:rPr>
      </w:pPr>
    </w:p>
    <w:p w14:paraId="05158188" w14:textId="77777777" w:rsidR="00D60EC5" w:rsidRPr="00EF4C9C" w:rsidRDefault="00D60EC5" w:rsidP="00D60EC5">
      <w:pPr>
        <w:ind w:firstLine="720"/>
        <w:rPr>
          <w:lang w:val="en-US"/>
        </w:rPr>
      </w:pPr>
    </w:p>
    <w:p w14:paraId="5E879265" w14:textId="22E513AD" w:rsidR="00684D0F" w:rsidRDefault="00684D0F" w:rsidP="00CB6058">
      <w:pPr>
        <w:pStyle w:val="Heading1"/>
        <w:rPr>
          <w:lang w:val="en-US"/>
        </w:rPr>
      </w:pPr>
      <w:r>
        <w:rPr>
          <w:lang w:val="en-US"/>
        </w:rPr>
        <w:lastRenderedPageBreak/>
        <w:t>Gaseous emissions</w:t>
      </w:r>
    </w:p>
    <w:p w14:paraId="374A5A81" w14:textId="3A7EE6D9" w:rsidR="00684D0F" w:rsidRDefault="00684D0F" w:rsidP="00684D0F">
      <w:pPr>
        <w:rPr>
          <w:lang w:val="en-US"/>
        </w:rPr>
      </w:pPr>
    </w:p>
    <w:p w14:paraId="316AE075" w14:textId="06002ED4" w:rsidR="00684D0F" w:rsidRPr="00684D0F" w:rsidRDefault="00684D0F" w:rsidP="00684D0F">
      <w:pPr>
        <w:pStyle w:val="Heading3"/>
      </w:pPr>
      <w:r w:rsidRPr="00684D0F">
        <w:t>Ammonia (NH3)</w:t>
      </w:r>
    </w:p>
    <w:p w14:paraId="3BBCA722" w14:textId="73129BB4" w:rsidR="00684D0F" w:rsidRDefault="00684D0F" w:rsidP="00684D0F">
      <w:pPr>
        <w:rPr>
          <w:lang w:val="en-US"/>
        </w:rPr>
      </w:pPr>
    </w:p>
    <w:p w14:paraId="2BEC4FDD" w14:textId="2B13BD53" w:rsidR="00684D0F" w:rsidRPr="00EF3536" w:rsidRDefault="00684D0F" w:rsidP="00684D0F">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251E3C8E" w14:textId="08184D36" w:rsidR="00EC5E16" w:rsidRPr="00EC5E16" w:rsidRDefault="00EC5E16" w:rsidP="00EC5E16">
      <w:pPr>
        <w:pStyle w:val="Heading3"/>
      </w:pPr>
      <w:r>
        <w:t>Nitrogen oxides (NOx)</w:t>
      </w:r>
    </w:p>
    <w:p w14:paraId="568018B1" w14:textId="2756B9C1" w:rsidR="00EC5E16" w:rsidRDefault="00EC5E16" w:rsidP="00684D0F">
      <w:pPr>
        <w:rPr>
          <w:lang w:val="en-US"/>
        </w:rPr>
      </w:pP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2B6DAD4B" w14:textId="299DD14B" w:rsidR="00D60EC5" w:rsidRDefault="00D60EC5" w:rsidP="00684D0F">
      <w:pPr>
        <w:rPr>
          <w:lang w:val="en-US"/>
        </w:rPr>
      </w:pPr>
    </w:p>
    <w:p w14:paraId="2672E2D2" w14:textId="20744B16" w:rsidR="00D60EC5" w:rsidRDefault="00D60EC5" w:rsidP="00684D0F">
      <w:pPr>
        <w:rPr>
          <w:lang w:val="en-US"/>
        </w:rPr>
      </w:pPr>
    </w:p>
    <w:p w14:paraId="287158B2" w14:textId="1F646601"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lastRenderedPageBreak/>
        <w:t>Runoff module</w:t>
      </w:r>
    </w:p>
    <w:p w14:paraId="675064B0" w14:textId="525BC470" w:rsidR="00CB6058" w:rsidRDefault="00CB6058" w:rsidP="00CB6058">
      <w:pPr>
        <w:rPr>
          <w:lang w:val="en-US"/>
        </w:rPr>
      </w:pPr>
    </w:p>
    <w:p w14:paraId="07E522AE" w14:textId="7C703211" w:rsidR="004C590B" w:rsidRDefault="00CB6058" w:rsidP="00CB6058">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w:t>
      </w:r>
      <w:proofErr w:type="spellStart"/>
      <w:r>
        <w:rPr>
          <w:lang w:val="en-US"/>
        </w:rPr>
        <w:t>f</w:t>
      </w:r>
      <w:r>
        <w:rPr>
          <w:vertAlign w:val="subscript"/>
          <w:lang w:val="en-US"/>
        </w:rPr>
        <w:t>runoff</w:t>
      </w:r>
      <w:proofErr w:type="spellEnd"/>
      <w:r>
        <w:rPr>
          <w:lang w:val="en-US"/>
        </w:rPr>
        <w:t xml:space="preserve">; %N-input) based on environmental parameters </w:t>
      </w:r>
      <w:r>
        <w:rPr>
          <w:lang w:val="en-US"/>
        </w:rPr>
        <w:fldChar w:fldCharType="begin" w:fldLock="1"/>
      </w:r>
      <w:r>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MITERRA-EUROPE","type":"article-journal","volume":"38"},"uris":["http://www.mendeley.com/documents/?uuid=8e3066fc-86dd-4733-aec4-c4233a018ef0"]}],"mendeley":{"formattedCitation":"(Velthof et al., 2009)","plainTextFormattedCitation":"(Velthof et al., 2009)"},"properties":{"noteIndex":0},"schema":"https://github.com/citation-style-language/schema/raw/master/csl-citation.json"}</w:instrText>
      </w:r>
      <w:r>
        <w:rPr>
          <w:lang w:val="en-US"/>
        </w:rPr>
        <w:fldChar w:fldCharType="separate"/>
      </w:r>
      <w:r w:rsidRPr="00CB6058">
        <w:rPr>
          <w:noProof/>
          <w:lang w:val="en-US"/>
        </w:rPr>
        <w:t>(Velthof et al., 2009)</w:t>
      </w:r>
      <w:r>
        <w:rPr>
          <w:lang w:val="en-US"/>
        </w:rPr>
        <w:fldChar w:fldCharType="end"/>
      </w:r>
      <w:r>
        <w:rPr>
          <w:lang w:val="en-US"/>
        </w:rPr>
        <w:t xml:space="preserve">. </w:t>
      </w:r>
      <w:r w:rsidR="00655DDF">
        <w:rPr>
          <w:lang w:val="en-US"/>
        </w:rPr>
        <w:t xml:space="preserve">Runoff parameters receive as input static data (slope, soil texture and depth to rock) and dynamic data calculated on a yearly basis (land use, precipitation surplus). Land use classes were derived from the land use module. </w:t>
      </w:r>
    </w:p>
    <w:p w14:paraId="5FEB33F0" w14:textId="75A2B667" w:rsidR="004C590B" w:rsidRDefault="00CB6058" w:rsidP="00CB6058">
      <w:pPr>
        <w:rPr>
          <w:lang w:val="en-US"/>
        </w:rPr>
      </w:pPr>
      <w:r>
        <w:rPr>
          <w:lang w:val="en-US"/>
        </w:rPr>
        <w:t xml:space="preserve">Two different methodologies were applied to calculate </w:t>
      </w:r>
      <w:proofErr w:type="spellStart"/>
      <w:r>
        <w:rPr>
          <w:lang w:val="en-US"/>
        </w:rPr>
        <w:t>f</w:t>
      </w:r>
      <w:r>
        <w:rPr>
          <w:vertAlign w:val="subscript"/>
          <w:lang w:val="en-US"/>
        </w:rPr>
        <w:t>runoff</w:t>
      </w:r>
      <w:proofErr w:type="spellEnd"/>
      <w:r>
        <w:rPr>
          <w:vertAlign w:val="subscript"/>
          <w:lang w:val="en-US"/>
        </w:rPr>
        <w:t>:</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aggregated and further allocated: </w:t>
      </w:r>
      <w:proofErr w:type="spellStart"/>
      <w:r w:rsidR="00931C7C">
        <w:rPr>
          <w:lang w:val="en-US"/>
        </w:rPr>
        <w:t>AnnualCrops</w:t>
      </w:r>
      <w:proofErr w:type="spellEnd"/>
      <w:r w:rsidR="00931C7C">
        <w:rPr>
          <w:lang w:val="en-US"/>
        </w:rPr>
        <w:t xml:space="preserve"> (cereals, vegetables, potatoes, pulses), </w:t>
      </w:r>
      <w:proofErr w:type="spellStart"/>
      <w:r w:rsidR="00931C7C">
        <w:rPr>
          <w:lang w:val="en-US"/>
        </w:rPr>
        <w:t>FruitTrees</w:t>
      </w:r>
      <w:proofErr w:type="spellEnd"/>
      <w:r w:rsidR="00931C7C">
        <w:rPr>
          <w:lang w:val="en-US"/>
        </w:rPr>
        <w:t xml:space="preserve"> (citrus, fresh fruits, dried nuts), </w:t>
      </w:r>
      <w:proofErr w:type="spellStart"/>
      <w:r w:rsidR="00931C7C">
        <w:rPr>
          <w:lang w:val="en-US"/>
        </w:rPr>
        <w:t>IntensivePasture</w:t>
      </w:r>
      <w:proofErr w:type="spellEnd"/>
      <w:r w:rsidR="00931C7C">
        <w:rPr>
          <w:lang w:val="en-US"/>
        </w:rPr>
        <w:t xml:space="preserve">, </w:t>
      </w:r>
      <w:proofErr w:type="spellStart"/>
      <w:r w:rsidR="00931C7C">
        <w:rPr>
          <w:lang w:val="en-US"/>
        </w:rPr>
        <w:t>OliveGrove</w:t>
      </w:r>
      <w:proofErr w:type="spellEnd"/>
      <w:r w:rsidR="00931C7C">
        <w:rPr>
          <w:lang w:val="en-US"/>
        </w:rPr>
        <w:t xml:space="preserve">, Vineyards and Rice. For grazing, it was assumed that this practice only occurs in certain LU classes. </w:t>
      </w:r>
    </w:p>
    <w:p w14:paraId="387B8A0A" w14:textId="5137ACC0" w:rsidR="00634D57" w:rsidRDefault="00634D57" w:rsidP="00CB6058">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0DC7F9DA"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7A211B">
        <w:rPr>
          <w:i w:val="0"/>
          <w:iCs w:val="0"/>
          <w:noProof/>
          <w:color w:val="auto"/>
          <w:sz w:val="24"/>
          <w:szCs w:val="24"/>
        </w:rPr>
        <w:t>2</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w:t>
      </w:r>
      <w:proofErr w:type="spellStart"/>
      <w:r w:rsidR="004C590B">
        <w:rPr>
          <w:i w:val="0"/>
          <w:iCs w:val="0"/>
          <w:color w:val="auto"/>
          <w:sz w:val="24"/>
          <w:szCs w:val="24"/>
        </w:rPr>
        <w:t>AnnualCrops</w:t>
      </w:r>
      <w:proofErr w:type="spellEnd"/>
      <w:r w:rsidR="004C590B">
        <w:rPr>
          <w:i w:val="0"/>
          <w:iCs w:val="0"/>
          <w:color w:val="auto"/>
          <w:sz w:val="24"/>
          <w:szCs w:val="24"/>
        </w:rPr>
        <w:t xml:space="preserve"> </w:t>
      </w:r>
      <w:r w:rsidR="00655DDF">
        <w:rPr>
          <w:i w:val="0"/>
          <w:iCs w:val="0"/>
          <w:color w:val="auto"/>
          <w:sz w:val="24"/>
          <w:szCs w:val="24"/>
        </w:rPr>
        <w:t>(</w:t>
      </w:r>
      <w:proofErr w:type="spellStart"/>
      <w:r w:rsidR="00655DDF">
        <w:rPr>
          <w:i w:val="0"/>
          <w:iCs w:val="0"/>
          <w:color w:val="auto"/>
          <w:sz w:val="24"/>
          <w:szCs w:val="24"/>
        </w:rPr>
        <w:t>Activity_data</w:t>
      </w:r>
      <w:proofErr w:type="spellEnd"/>
      <w:r w:rsidR="00655DDF">
        <w:rPr>
          <w:i w:val="0"/>
          <w:iCs w:val="0"/>
          <w:color w:val="auto"/>
          <w:sz w:val="24"/>
          <w:szCs w:val="24"/>
        </w:rPr>
        <w:t>/</w:t>
      </w:r>
      <w:proofErr w:type="spellStart"/>
      <w:r w:rsidR="00655DDF">
        <w:rPr>
          <w:i w:val="0"/>
          <w:iCs w:val="0"/>
          <w:color w:val="auto"/>
          <w:sz w:val="24"/>
          <w:szCs w:val="24"/>
        </w:rPr>
        <w:t>General_params</w:t>
      </w:r>
      <w:proofErr w:type="spellEnd"/>
      <w:r w:rsidR="00655DDF">
        <w:rPr>
          <w:i w:val="0"/>
          <w:iCs w:val="0"/>
          <w:color w:val="auto"/>
          <w:sz w:val="24"/>
          <w:szCs w:val="24"/>
        </w:rPr>
        <w:t>/LULCC/Runoff/</w:t>
      </w:r>
      <w:proofErr w:type="spellStart"/>
      <w:r w:rsidR="00655DDF">
        <w:rPr>
          <w:i w:val="0"/>
          <w:iCs w:val="0"/>
          <w:color w:val="auto"/>
          <w:sz w:val="24"/>
          <w:szCs w:val="24"/>
        </w:rPr>
        <w:t>LU_allocation</w:t>
      </w:r>
      <w:proofErr w:type="spellEnd"/>
      <w:r w:rsidR="00655DDF">
        <w:rPr>
          <w:i w:val="0"/>
          <w:iCs w:val="0"/>
          <w:color w:val="auto"/>
          <w:sz w:val="24"/>
          <w:szCs w:val="24"/>
        </w:rPr>
        <w:t>)</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proofErr w:type="spellStart"/>
            <w:r w:rsidRPr="00CB6058">
              <w:rPr>
                <w:rFonts w:eastAsia="Times New Roman"/>
                <w:color w:val="000000"/>
                <w:lang w:val="en-US"/>
              </w:rPr>
              <w:t>clc_id</w:t>
            </w:r>
            <w:proofErr w:type="spellEnd"/>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LULCC_label</w:t>
            </w:r>
            <w:proofErr w:type="spellEnd"/>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allow_runoff</w:t>
            </w:r>
            <w:proofErr w:type="spellEnd"/>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Non_irrigated</w:t>
            </w:r>
            <w:proofErr w:type="spellEnd"/>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Permanently_irrigated</w:t>
            </w:r>
            <w:proofErr w:type="spellEnd"/>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Fruit_trees</w:t>
            </w:r>
            <w:proofErr w:type="spellEnd"/>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Olive_groves</w:t>
            </w:r>
            <w:proofErr w:type="spellEnd"/>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Annuals_permanents</w:t>
            </w:r>
            <w:proofErr w:type="spellEnd"/>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Complex_patterns</w:t>
            </w:r>
            <w:proofErr w:type="spellEnd"/>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Agriculture_naturalVeg</w:t>
            </w:r>
            <w:proofErr w:type="spellEnd"/>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lastRenderedPageBreak/>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w:t>
            </w:r>
            <w:proofErr w:type="spellEnd"/>
            <w:r w:rsidRPr="00CB6058">
              <w:rPr>
                <w:rFonts w:eastAsia="Times New Roman"/>
                <w:color w:val="000000"/>
                <w:lang w:val="en-US"/>
              </w:rPr>
              <w:t>-forestry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AgroForestry</w:t>
            </w:r>
            <w:proofErr w:type="spellEnd"/>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Natural_grasslands</w:t>
            </w:r>
            <w:proofErr w:type="spellEnd"/>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Water_bodies</w:t>
            </w:r>
            <w:proofErr w:type="spellEnd"/>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CB6058">
      <w:pPr>
        <w:rPr>
          <w:lang w:val="en-US"/>
        </w:rPr>
      </w:pPr>
      <w:r>
        <w:rPr>
          <w:lang w:val="en-US"/>
        </w:rPr>
        <w:t>Nutrient runoff losses from recent application (</w:t>
      </w:r>
      <w:proofErr w:type="spellStart"/>
      <w:r>
        <w:rPr>
          <w:lang w:val="en-US"/>
        </w:rPr>
        <w:t>Nut</w:t>
      </w:r>
      <w:r>
        <w:rPr>
          <w:vertAlign w:val="subscript"/>
          <w:lang w:val="en-US"/>
        </w:rPr>
        <w:t>Res</w:t>
      </w:r>
      <w:proofErr w:type="spellEnd"/>
      <w:r>
        <w:rPr>
          <w:vertAlign w:val="subscript"/>
          <w:lang w:val="en-US"/>
        </w:rPr>
        <w:t>, rf</w:t>
      </w:r>
      <w:r>
        <w:rPr>
          <w:lang w:val="en-US"/>
        </w:rPr>
        <w:t>) were calculated as the product of runoff fractions and the net nutrient returned to the soil (</w:t>
      </w:r>
      <w:proofErr w:type="spellStart"/>
      <w:r>
        <w:rPr>
          <w:lang w:val="en-US"/>
        </w:rPr>
        <w:t>Nut</w:t>
      </w:r>
      <w:r>
        <w:rPr>
          <w:vertAlign w:val="subscript"/>
          <w:lang w:val="en-US"/>
        </w:rPr>
        <w:t>Res</w:t>
      </w:r>
      <w:proofErr w:type="spellEnd"/>
      <w:r>
        <w:rPr>
          <w:vertAlign w:val="subscript"/>
          <w:lang w:val="en-US"/>
        </w:rPr>
        <w:t>,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 xml:space="preserve">It is implied that that the total </w:t>
      </w:r>
      <w:proofErr w:type="spellStart"/>
      <w:r>
        <w:rPr>
          <w:lang w:val="en-US"/>
        </w:rPr>
        <w:t>Nut</w:t>
      </w:r>
      <w:r>
        <w:rPr>
          <w:vertAlign w:val="subscript"/>
          <w:lang w:val="en-US"/>
        </w:rPr>
        <w:t>res</w:t>
      </w:r>
      <w:proofErr w:type="spellEnd"/>
      <w:r>
        <w:rPr>
          <w:vertAlign w:val="subscript"/>
          <w:lang w:val="en-US"/>
        </w:rPr>
        <w:t>,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CB6058">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CB6058">
      <w:pPr>
        <w:rPr>
          <w:lang w:val="en-US"/>
        </w:rPr>
      </w:pPr>
      <w:r>
        <w:rPr>
          <w:lang w:val="en-US"/>
        </w:rPr>
        <w:t xml:space="preserve">For instance, for the nitrogen losses of </w:t>
      </w:r>
      <w:proofErr w:type="spellStart"/>
      <w:r>
        <w:rPr>
          <w:lang w:val="en-US"/>
        </w:rPr>
        <w:t>Irrigated_maize</w:t>
      </w:r>
      <w:proofErr w:type="spellEnd"/>
      <w:r>
        <w:rPr>
          <w:lang w:val="en-US"/>
        </w:rPr>
        <w:t xml:space="preserve"> (an annual crop) from manure application, </w:t>
      </w:r>
      <w:proofErr w:type="spellStart"/>
      <w:r>
        <w:rPr>
          <w:lang w:val="en-US"/>
        </w:rPr>
        <w:t>f</w:t>
      </w:r>
      <w:r>
        <w:rPr>
          <w:vertAlign w:val="subscript"/>
          <w:lang w:val="en-US"/>
        </w:rPr>
        <w:t>runoff</w:t>
      </w:r>
      <w:proofErr w:type="spellEnd"/>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CB6058">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D60EC5" w:rsidP="00CB6058">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proofErr w:type="spellStart"/>
            <w:r>
              <w:rPr>
                <w:lang w:val="en-US"/>
              </w:rPr>
              <w:t>f</w:t>
            </w:r>
            <w:r>
              <w:rPr>
                <w:vertAlign w:val="subscript"/>
                <w:lang w:val="en-US"/>
              </w:rPr>
              <w:t>runoff</w:t>
            </w:r>
            <w:proofErr w:type="spellEnd"/>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 xml:space="preserve">NITROGEN, PHOSPHORUS: </w:t>
            </w:r>
            <w:proofErr w:type="spellStart"/>
            <w:r>
              <w:rPr>
                <w:lang w:val="en-US"/>
              </w:rPr>
              <w:t>f</w:t>
            </w:r>
            <w:r>
              <w:rPr>
                <w:vertAlign w:val="subscript"/>
                <w:lang w:val="en-US"/>
              </w:rPr>
              <w:t>runoff</w:t>
            </w:r>
            <w:proofErr w:type="spellEnd"/>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t xml:space="preserve">PHOSPHORUS: runoff losses </w:t>
            </w:r>
          </w:p>
        </w:tc>
      </w:tr>
    </w:tbl>
    <w:p w14:paraId="7EEBB61E" w14:textId="77777777" w:rsidR="0053526B" w:rsidRPr="004C590B" w:rsidRDefault="0053526B" w:rsidP="00CB6058">
      <w:pPr>
        <w:rPr>
          <w:lang w:val="en-US"/>
        </w:rPr>
      </w:pPr>
    </w:p>
    <w:sectPr w:rsidR="0053526B" w:rsidRPr="004C5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95EC2"/>
    <w:rsid w:val="000D290C"/>
    <w:rsid w:val="00145ABA"/>
    <w:rsid w:val="001D620C"/>
    <w:rsid w:val="00320D38"/>
    <w:rsid w:val="003D2B82"/>
    <w:rsid w:val="00491AA3"/>
    <w:rsid w:val="004C2CF0"/>
    <w:rsid w:val="004C590B"/>
    <w:rsid w:val="0053526B"/>
    <w:rsid w:val="005F4561"/>
    <w:rsid w:val="00634D57"/>
    <w:rsid w:val="00655DDF"/>
    <w:rsid w:val="00684D0F"/>
    <w:rsid w:val="00743D83"/>
    <w:rsid w:val="00791BC5"/>
    <w:rsid w:val="007A211B"/>
    <w:rsid w:val="008145F5"/>
    <w:rsid w:val="008D6AC3"/>
    <w:rsid w:val="008D6DAD"/>
    <w:rsid w:val="00931C7C"/>
    <w:rsid w:val="0093546F"/>
    <w:rsid w:val="00CB6058"/>
    <w:rsid w:val="00D60EC5"/>
    <w:rsid w:val="00DB5FF2"/>
    <w:rsid w:val="00E040BB"/>
    <w:rsid w:val="00E2026A"/>
    <w:rsid w:val="00E45ABF"/>
    <w:rsid w:val="00EC5E16"/>
    <w:rsid w:val="00EF3536"/>
    <w:rsid w:val="00EF4C9C"/>
    <w:rsid w:val="00F55D0C"/>
    <w:rsid w:val="00FE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30</cp:revision>
  <dcterms:created xsi:type="dcterms:W3CDTF">2020-04-17T09:03:00Z</dcterms:created>
  <dcterms:modified xsi:type="dcterms:W3CDTF">2020-06-24T18:54:00Z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