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ouncil-meeting-1--working-agenda"/>
    <w:p>
      <w:pPr>
        <w:pStyle w:val="Heading1"/>
      </w:pPr>
      <w:r>
        <w:t xml:space="preserve">Council Meeting 1 — Working Agenda</w:t>
      </w:r>
    </w:p>
    <w:p>
      <w:pPr>
        <w:pStyle w:val="FirstParagraph"/>
      </w:pPr>
      <w:r>
        <w:rPr>
          <w:b/>
          <w:bCs/>
        </w:rPr>
        <w:t xml:space="preserve">Meeting:</w:t>
      </w:r>
      <w:r>
        <w:t xml:space="preserve"> </w:t>
      </w:r>
      <w:r>
        <w:t xml:space="preserve">First meeting of the Council of Stewards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2026-06-28</w:t>
      </w:r>
      <w:r>
        <w:t xml:space="preserve"> </w:t>
      </w:r>
      <w:r>
        <w:rPr>
          <w:b/>
          <w:bCs/>
        </w:rPr>
        <w:t xml:space="preserve">Target length:</w:t>
      </w:r>
      <w:r>
        <w:t xml:space="preserve"> </w:t>
      </w:r>
      <w:r>
        <w:t xml:space="preserve">≈ 2 hours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expected to change over the week before the meeting. Edit freely; keep the revision log at the bottom current.</w:t>
      </w:r>
    </w:p>
    <w:p>
      <w:r>
        <w:pict>
          <v:rect style="width:0;height:1.5pt" o:hralign="center" o:hrstd="t" o:hr="t"/>
        </w:pict>
      </w:r>
    </w:p>
    <w:bookmarkStart w:id="9" w:name="framing"/>
    <w:p>
      <w:pPr>
        <w:pStyle w:val="Heading2"/>
      </w:pPr>
      <w:r>
        <w:t xml:space="preserve">Framing</w:t>
      </w:r>
    </w:p>
    <w:p>
      <w:pPr>
        <w:pStyle w:val="FirstParagraph"/>
      </w:pPr>
      <w:r>
        <w:t xml:space="preserve">A first meeting's job is to</w:t>
      </w:r>
      <w:r>
        <w:t xml:space="preserve"> </w:t>
      </w:r>
      <w:r>
        <w:rPr>
          <w:b/>
          <w:bCs/>
        </w:rPr>
        <w:t xml:space="preserve">constitute itself, agree how it will work, take its founding votes, and make the few decisions that unblock real work</w:t>
      </w:r>
      <w:r>
        <w:t xml:space="preserve"> </w:t>
      </w:r>
      <w:r>
        <w:t xml:space="preserve">— not to finish everything. The large multi-session work (the full claim-by-claim registry walk-through, the research cycles themselves) is</w:t>
      </w:r>
      <w:r>
        <w:t xml:space="preserve"> </w:t>
      </w:r>
      <w:r>
        <w:rPr>
          <w:i/>
          <w:iCs/>
        </w:rPr>
        <w:t xml:space="preserve">scheduled</w:t>
      </w:r>
      <w:r>
        <w:t xml:space="preserve">, not done today.</w:t>
      </w:r>
    </w:p>
    <w:p>
      <w:pPr>
        <w:pStyle w:val="BodyText"/>
      </w:pPr>
      <w:r>
        <w:t xml:space="preserve">The agenda is built from the project's own governance artifacts — Volume 6 Part 1 §13 ("First Council actions"), the Research Register, the Peer-Review Panel Registry, and the Formation Companion's new safeguarding section — not invented.</w:t>
      </w:r>
    </w:p>
    <w:bookmarkEnd w:id="9"/>
    <w:bookmarkStart w:id="10" w:name="X37f0114ed7b31593d5c7bd79fc6460df3c88069"/>
    <w:p>
      <w:pPr>
        <w:pStyle w:val="Heading2"/>
      </w:pPr>
      <w:r>
        <w:t xml:space="preserve">Pre-meeting prep (so the votes are actually possible)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SCHEMA.md</w:t>
      </w:r>
      <w:r>
        <w:t xml:space="preserve"> </w:t>
      </w:r>
      <w:r>
        <w:t xml:space="preserve">— did not exist; now</w:t>
      </w:r>
      <w:r>
        <w:t xml:space="preserve"> </w:t>
      </w:r>
      <w:r>
        <w:rPr>
          <w:b/>
          <w:bCs/>
        </w:rPr>
        <w:t xml:space="preserve">drafted</w:t>
      </w:r>
      <w:r>
        <w:t xml:space="preserve"> </w:t>
      </w:r>
      <w:r>
        <w:t xml:space="preserve">for ratification at</w:t>
      </w:r>
      <w:r>
        <w:t xml:space="preserve"> </w:t>
      </w:r>
      <w:r>
        <w:rPr>
          <w:rStyle w:val="VerbatimChar"/>
        </w:rPr>
        <w:t xml:space="preserve">_implementation-notes/council-meeting-2026-06-28/draft-SCHEMA.md</w:t>
      </w:r>
      <w:r>
        <w:t xml:space="preserve">. On ratification it moves to the</w:t>
      </w:r>
      <w:r>
        <w:t xml:space="preserve"> </w:t>
      </w:r>
      <w:r>
        <w:rPr>
          <w:b/>
          <w:bCs/>
        </w:rPr>
        <w:t xml:space="preserve">repo root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SCHEMA.md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CONTRIBUTING.md</w:t>
      </w:r>
      <w:r>
        <w:t xml:space="preserve"> </w:t>
      </w:r>
      <w:r>
        <w:t xml:space="preserve">— exists at repo root but is an explicit</w:t>
      </w:r>
      <w:r>
        <w:t xml:space="preserve"> </w:t>
      </w:r>
      <w:r>
        <w:rPr>
          <w:b/>
          <w:bCs/>
        </w:rPr>
        <w:t xml:space="preserve">placeholder</w:t>
      </w:r>
      <w:r>
        <w:t xml:space="preserve">; the authoritative version is now</w:t>
      </w:r>
      <w:r>
        <w:t xml:space="preserve"> </w:t>
      </w:r>
      <w:r>
        <w:rPr>
          <w:b/>
          <w:bCs/>
        </w:rPr>
        <w:t xml:space="preserve">drafted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_implementation-notes/council-meeting-2026-06-28/draft-CONTRIBUTING.md</w:t>
      </w:r>
      <w:r>
        <w:t xml:space="preserve">. On ratification it</w:t>
      </w:r>
      <w:r>
        <w:t xml:space="preserve"> </w:t>
      </w:r>
      <w:r>
        <w:rPr>
          <w:b/>
          <w:bCs/>
        </w:rPr>
        <w:t xml:space="preserve">replaces the root placeholder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PROPOSAL_TEMPLATE.md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SUCCESSION_LETTER.md</w:t>
      </w:r>
      <w:r>
        <w:t xml:space="preserve"> </w:t>
      </w:r>
      <w:r>
        <w:t xml:space="preserve">— already exist in</w:t>
      </w:r>
      <w:r>
        <w:t xml:space="preserve"> </w:t>
      </w:r>
      <w:r>
        <w:rPr>
          <w:rStyle w:val="VerbatimChar"/>
        </w:rPr>
        <w:t xml:space="preserve">docs/volume-6-governance/</w:t>
      </w:r>
      <w:r>
        <w:t xml:space="preserve"> </w:t>
      </w:r>
      <w:r>
        <w:t xml:space="preserve">(</w:t>
      </w:r>
      <w:r>
        <w:rPr>
          <w:rStyle w:val="VerbatimChar"/>
        </w:rPr>
        <w:t xml:space="preserve">proposal-template.md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part-3-succession-letter.md</w:t>
      </w:r>
      <w:r>
        <w:t xml:space="preserve">). Confirm the Council is ratifying those versions.</w:t>
      </w:r>
    </w:p>
    <w:p>
      <w:r>
        <w:pict>
          <v:rect style="width:0;height:1.5pt" o:hralign="center" o:hrstd="t" o:hr="t"/>
        </w:pict>
      </w:r>
    </w:p>
    <w:bookmarkEnd w:id="10"/>
    <w:bookmarkStart w:id="12" w:name="prioritized-agenda"/>
    <w:p>
      <w:pPr>
        <w:pStyle w:val="Heading2"/>
      </w:pPr>
      <w:r>
        <w:t xml:space="preserve">Prioritized agenda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Decision needed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Constitute the Council &amp; adopt the operating rules</w:t>
            </w:r>
          </w:p>
        </w:tc>
        <w:tc>
          <w:tcPr/>
          <w:p>
            <w:pPr>
              <w:pStyle w:val="Compact"/>
            </w:pPr>
            <w:r>
              <w:t xml:space="preserve">Confirm the five seats / roles (Part 1 §1: Founder–Editor-in-Chief, Council of Stewards, Contributor body); adopt the decision-making framework — lazy consensus / consent-based / two-thirds supermajority (§6); affirm one</w:t>
            </w:r>
            <w:r>
              <w:t xml:space="preserve"> </w:t>
            </w:r>
            <w:r>
              <w:rPr>
                <w:b/>
                <w:bCs/>
              </w:rPr>
              <w:t xml:space="preserve">annual calibration cycle</w:t>
            </w:r>
            <w:r>
              <w:t xml:space="preserve"> </w:t>
            </w:r>
            <w:r>
              <w:t xml:space="preserve">+ a public calibration report (§9); affirm the</w:t>
            </w:r>
            <w:r>
              <w:t xml:space="preserve"> </w:t>
            </w:r>
            <w:r>
              <w:rPr>
                <w:b/>
                <w:bCs/>
              </w:rPr>
              <w:t xml:space="preserve">Research Register</w:t>
            </w:r>
            <w:r>
              <w:t xml:space="preserve"> </w:t>
            </w:r>
            <w:r>
              <w:t xml:space="preserve">as the standing instrument.</w:t>
            </w:r>
            <w:r>
              <w:t xml:space="preserve"> </w:t>
            </w:r>
            <w:r>
              <w:rPr>
                <w:i/>
                <w:iCs/>
              </w:rPr>
              <w:t xml:space="preserve">Nothing below is a legitimate vote until this is done.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Founding ratification votes</w:t>
            </w:r>
          </w:p>
        </w:tc>
        <w:tc>
          <w:tcPr/>
          <w:p>
            <w:pPr>
              <w:pStyle w:val="Compact"/>
            </w:pPr>
            <w:r>
              <w:t xml:space="preserve">First substantive vote:</w:t>
            </w:r>
            <w:r>
              <w:t xml:space="preserve"> </w:t>
            </w:r>
            <w:r>
              <w:rPr>
                <w:b/>
                <w:bCs/>
              </w:rPr>
              <w:t xml:space="preserve">ratify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SCHEMA.md</w:t>
            </w:r>
            <w:r>
              <w:t xml:space="preserve"> </w:t>
            </w:r>
            <w:r>
              <w:t xml:space="preserve">(§13.1 — governance-amendment level, needs two-thirds). Then ratify the contributor documents 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CONTRIBUTING.md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PROPOSAL_TEMPLATE.md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SUCCESSION_LETTER.md</w:t>
            </w:r>
            <w:r>
              <w:t xml:space="preserve"> </w:t>
            </w:r>
            <w:r>
              <w:t xml:space="preserve">(§13.3). This is the act that turns the registry from</w:t>
            </w:r>
            <w:r>
              <w:t xml:space="preserve"> </w:t>
            </w:r>
            <w:r>
              <w:rPr>
                <w:i/>
                <w:iCs/>
              </w:rPr>
              <w:t xml:space="preserve">the founder's worked example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i/>
                <w:iCs/>
              </w:rPr>
              <w:t xml:space="preserve">the Council's authoritative record.</w:t>
            </w:r>
          </w:p>
        </w:tc>
        <w:tc>
          <w:tcPr/>
          <w:p>
            <w:pPr>
              <w:pStyle w:val="Compac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Safeguarding architecture (LANGBERG-2) — the substantive heart</w:t>
            </w:r>
          </w:p>
        </w:tc>
        <w:tc>
          <w:tcPr/>
          <w:p>
            <w:pPr>
              <w:pStyle w:val="Compact"/>
            </w:pPr>
            <w:r>
              <w:t xml:space="preserve">Ratify / sharpen the new</w:t>
            </w:r>
            <w:r>
              <w:t xml:space="preserve"> </w:t>
            </w:r>
            <w:r>
              <w:rPr>
                <w:b/>
                <w:bCs/>
              </w:rPr>
              <w:t xml:space="preserve">"Safeguarding the Pilgrim — A Procedural Floor"</w:t>
            </w:r>
            <w:r>
              <w:t xml:space="preserve"> </w:t>
            </w:r>
            <w:r>
              <w:t xml:space="preserve">in the Formation Companion chapter, and formally</w:t>
            </w:r>
            <w:r>
              <w:t xml:space="preserve"> </w:t>
            </w:r>
            <w:r>
              <w:rPr>
                <w:b/>
                <w:bCs/>
              </w:rPr>
              <w:t xml:space="preserve">accept the Council's new role as the body that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receives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complaints</w:t>
            </w:r>
            <w:r>
              <w:t xml:space="preserve"> </w:t>
            </w:r>
            <w:r>
              <w:t xml:space="preserve">(distinct from assessing readiness). Confirm the six pieces: consent + right to stop; the power differential made procedural; conduct rules; complaint pathway; grievance/removal process; and the</w:t>
            </w:r>
            <w:r>
              <w:t xml:space="preserve"> </w:t>
            </w:r>
            <w:r>
              <w:rPr>
                <w:b/>
                <w:bCs/>
              </w:rPr>
              <w:t xml:space="preserve">never-one-on-one rule — a second person is always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present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(an adult where the pilgrim is a minor)</w:t>
            </w:r>
            <w:r>
              <w:t xml:space="preserve">, which the founder</w:t>
            </w:r>
            <w:r>
              <w:t xml:space="preserve"> </w:t>
            </w:r>
            <w:r>
              <w:rPr>
                <w:b/>
                <w:bCs/>
              </w:rPr>
              <w:t xml:space="preserve">strengthened 2026-06-23</w:t>
            </w:r>
            <w:r>
              <w:t xml:space="preserve"> </w:t>
            </w:r>
            <w:r>
              <w:t xml:space="preserve">from the earlier "no solo high-intensity work without a witness or a debrief" — now</w:t>
            </w:r>
            <w:r>
              <w:t xml:space="preserve"> </w:t>
            </w:r>
            <w:r>
              <w:rPr>
                <w:b/>
                <w:bCs/>
              </w:rPr>
              <w:t xml:space="preserve">live dev+prod</w:t>
            </w:r>
            <w:r>
              <w:t xml:space="preserve"> </w:t>
            </w:r>
            <w:r>
              <w:t xml:space="preserve">in the chapter and already operationalized in the</w:t>
            </w:r>
            <w:r>
              <w:t xml:space="preserve"> </w:t>
            </w:r>
            <w:r>
              <w:rPr>
                <w:b/>
                <w:bCs/>
              </w:rPr>
              <w:t xml:space="preserve">FotH pilot</w:t>
            </w:r>
            <w:r>
              <w:t xml:space="preserve"> </w:t>
            </w:r>
            <w:r>
              <w:t xml:space="preserve">handbooks (the two-adult rule: no adult ever alone with a teen, behind a launch-blocking safety checklist).</w:t>
            </w:r>
            <w:r>
              <w:t xml:space="preserve"> </w:t>
            </w:r>
            <w:r>
              <w:rPr>
                <w:b/>
                <w:bCs/>
              </w:rPr>
              <w:t xml:space="preserve">This gates the FotH pilot — it protects real people</w:t>
            </w:r>
            <w:r>
              <w:t xml:space="preserve">, so it gets the largest block. The Council's task is to ratify (and sharpen) an architecture already consistent across the chapter, the pilot, and the journal articles.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"women's side" + extend the review bench</w:t>
            </w:r>
          </w:p>
        </w:tc>
        <w:tc>
          <w:tcPr/>
          <w:p>
            <w:pPr>
              <w:pStyle w:val="Compact"/>
            </w:pPr>
            <w:r>
              <w:t xml:space="preserve">Commit to developing the deferred</w:t>
            </w:r>
            <w:r>
              <w:t xml:space="preserve"> </w:t>
            </w:r>
            <w:r>
              <w:rPr>
                <w:b/>
                <w:bCs/>
              </w:rPr>
              <w:t xml:space="preserve">Character Prerequisites</w:t>
            </w:r>
            <w:r>
              <w:t xml:space="preserve"> </w:t>
            </w:r>
            <w:r>
              <w:t xml:space="preserve">(1 Tim 3 / Titus 1 qualifications read in the NT's gender-inclusive register; Eph 4 / Rom 12 / 1 Cor 12 gifting; Priscilla / Phoebe / Lydia). Pair it with the Panel Registry's</w:t>
            </w:r>
            <w:r>
              <w:t xml:space="preserve"> </w:t>
            </w:r>
            <w:r>
              <w:rPr>
                <w:b/>
                <w:bCs/>
              </w:rPr>
              <w:t xml:space="preserve">standing, openly-named gap</w:t>
            </w:r>
            <w:r>
              <w:t xml:space="preserve">: nominate a</w:t>
            </w:r>
            <w:r>
              <w:t xml:space="preserve"> </w:t>
            </w:r>
            <w:r>
              <w:rPr>
                <w:b/>
                <w:bCs/>
              </w:rPr>
              <w:t xml:space="preserve">woman theologian / biblical scholar</w:t>
            </w:r>
            <w:r>
              <w:t xml:space="preserve"> </w:t>
            </w:r>
            <w:r>
              <w:t xml:space="preserve">to help shape it — plus nominees for the other named lenses (Orthodox / patristic, Roman Catholic sacramental, majority-world, analytic philosopher).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the first research cycle</w:t>
            </w:r>
          </w:p>
        </w:tc>
        <w:tc>
          <w:tcPr/>
          <w:p>
            <w:pPr>
              <w:pStyle w:val="Compact"/>
            </w:pPr>
            <w:r>
              <w:t xml:space="preserve">From the Register's</w:t>
            </w:r>
            <w:r>
              <w:t xml:space="preserve"> </w:t>
            </w:r>
            <w:r>
              <w:rPr>
                <w:i/>
                <w:iCs/>
              </w:rPr>
              <w:t xml:space="preserve">ready-now</w:t>
            </w:r>
            <w:r>
              <w:t xml:space="preserve"> </w:t>
            </w:r>
            <w:r>
              <w:t xml:space="preserve">list, commission</w:t>
            </w:r>
            <w:r>
              <w:t xml:space="preserve"> </w:t>
            </w:r>
            <w:r>
              <w:rPr>
                <w:b/>
                <w:bCs/>
              </w:rPr>
              <w:t xml:space="preserve">1–2 trails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Attachment-substrate correlation</w:t>
            </w:r>
            <w:r>
              <w:t xml:space="preserve"> </w:t>
            </w:r>
            <w:r>
              <w:t xml:space="preserve">(data already being collected — lowest cost to first result) and/or</w:t>
            </w:r>
            <w:r>
              <w:t xml:space="preserve"> </w:t>
            </w:r>
            <w:r>
              <w:rPr>
                <w:b/>
                <w:bCs/>
              </w:rPr>
              <w:t xml:space="preserve">Minimum-Factor Protocol</w:t>
            </w:r>
            <w:r>
              <w:t xml:space="preserve"> </w:t>
            </w:r>
            <w:r>
              <w:t xml:space="preserve">(highest practical payoff). Note the §13.4 testing priorities —</w:t>
            </w:r>
            <w:r>
              <w:t xml:space="preserve"> </w:t>
            </w:r>
            <w:r>
              <w:rPr>
                <w:b/>
                <w:bCs/>
              </w:rPr>
              <w:t xml:space="preserve">V2.Exp6 Tool Map (70%), V3.Exp3 Force equation (40%), V3.Exp6 Conservation Laws (35%)</w:t>
            </w:r>
            <w:r>
              <w:t xml:space="preserve"> </w:t>
            </w:r>
            <w:r>
              <w:t xml:space="preserve">— and that</w:t>
            </w:r>
            <w:r>
              <w:t xml:space="preserve"> </w:t>
            </w:r>
            <w:r>
              <w:rPr>
                <w:b/>
                <w:bCs/>
              </w:rPr>
              <w:t xml:space="preserve">V1.Exp8 (Mustard Seed) is now resolved</w:t>
            </w:r>
            <w:r>
              <w:t xml:space="preserve">, so it is off the list.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Standing frontiers — keep open, name who we are waiting for</w:t>
            </w:r>
          </w:p>
        </w:tc>
        <w:tc>
          <w:tcPr/>
          <w:p>
            <w:pPr>
              <w:pStyle w:val="Compact"/>
            </w:pPr>
            <w:r>
              <w:t xml:space="preserve">Two are</w:t>
            </w:r>
            <w:r>
              <w:t xml:space="preserve"> </w:t>
            </w:r>
            <w:r>
              <w:rPr>
                <w:i/>
                <w:iCs/>
              </w:rPr>
              <w:t xml:space="preserve">invitations, not tasks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spiritual warfare / deliverance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Formation-Companion development paths beyond the four traditions</w:t>
            </w:r>
            <w:r>
              <w:t xml:space="preserve">. Both wait on a contributor who has</w:t>
            </w:r>
            <w:r>
              <w:t xml:space="preserve"> </w:t>
            </w:r>
            <w:r>
              <w:rPr>
                <w:i/>
                <w:iCs/>
              </w:rPr>
              <w:t xml:space="preserve">lived</w:t>
            </w:r>
            <w:r>
              <w:t xml:space="preserve"> </w:t>
            </w:r>
            <w:r>
              <w:t xml:space="preserve">the work, not read about it. Council action: affirm they stay open; name any candidate contributors.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 + schedule the next session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Assign, do not resolve:</w:t>
            </w:r>
            <w:r>
              <w:t xml:space="preserve"> </w:t>
            </w:r>
            <w:r>
              <w:t xml:space="preserve">recruit a</w:t>
            </w:r>
            <w:r>
              <w:t xml:space="preserve"> </w:t>
            </w:r>
            <w:r>
              <w:rPr>
                <w:b/>
                <w:bCs/>
              </w:rPr>
              <w:t xml:space="preserve">technical co-maintainer</w:t>
            </w:r>
            <w:r>
              <w:t xml:space="preserve"> </w:t>
            </w:r>
            <w:r>
              <w:t xml:space="preserve">(§11 / §13.6); the backward</w:t>
            </w:r>
            <w:r>
              <w:t xml:space="preserve"> </w:t>
            </w:r>
            <w:r>
              <w:rPr>
                <w:b/>
                <w:bCs/>
              </w:rPr>
              <w:t xml:space="preserve">analogy-class tagging</w:t>
            </w:r>
            <w:r>
              <w:t xml:space="preserve"> </w:t>
            </w:r>
            <w:r>
              <w:t xml:space="preserve">of Vols 1–2 (§8 / §13.5);</w:t>
            </w:r>
            <w:r>
              <w:t xml:space="preserve"> </w:t>
            </w:r>
            <w:r>
              <w:rPr>
                <w:b/>
                <w:bCs/>
              </w:rPr>
              <w:t xml:space="preserve">publishing the opening of contribution</w:t>
            </w:r>
            <w:r>
              <w:t xml:space="preserve"> </w:t>
            </w:r>
            <w:r>
              <w:t xml:space="preserve">(§13.7). Then</w:t>
            </w:r>
            <w:r>
              <w:t xml:space="preserve"> </w:t>
            </w:r>
            <w:r>
              <w:rPr>
                <w:b/>
                <w:bCs/>
              </w:rPr>
              <w:t xml:space="preserve">book the registry claim-by-claim walk-through</w:t>
            </w:r>
            <w:r>
              <w:t xml:space="preserve"> </w:t>
            </w:r>
            <w:r>
              <w:t xml:space="preserve">(§13.2) as its own dedicated session — it cannot fit today.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≈ 120 min.</w:t>
      </w:r>
    </w:p>
    <w:bookmarkStart w:id="11" w:name="notes-on-ordering"/>
    <w:p>
      <w:pPr>
        <w:pStyle w:val="Heading3"/>
      </w:pPr>
      <w:r>
        <w:t xml:space="preserve">Notes on ordering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 1 is fixed first; 2–7 can reorder.</w:t>
      </w:r>
      <w:r>
        <w:t xml:space="preserve"> </w:t>
      </w:r>
      <w:r>
        <w:t xml:space="preserve">If the Council would rather lead with stakes, swap Item 3 above Item 2 and open with safeguarding while attention is freshest — it is the most consequential item on the list.</w:t>
      </w:r>
    </w:p>
    <w:p>
      <w:pPr>
        <w:pStyle w:val="Compact"/>
        <w:numPr>
          <w:ilvl w:val="0"/>
          <w:numId w:val="1002"/>
        </w:numPr>
      </w:pPr>
      <w:r>
        <w:t xml:space="preserve">Time-boxed to ~2 hours means</w:t>
      </w:r>
      <w:r>
        <w:t xml:space="preserve"> </w:t>
      </w:r>
      <w:r>
        <w:rPr>
          <w:b/>
          <w:bCs/>
        </w:rPr>
        <w:t xml:space="preserve">depth over breadth</w:t>
      </w:r>
      <w:r>
        <w:t xml:space="preserve"> </w:t>
      </w:r>
      <w:r>
        <w:t xml:space="preserve">— Items 3 and 4 are where the real discussion lives.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explicitly-not-on-the-table"/>
    <w:p>
      <w:pPr>
        <w:pStyle w:val="Heading2"/>
      </w:pPr>
      <w:r>
        <w:t xml:space="preserve">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on the table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 adversarial / apologetic panel.</w:t>
      </w:r>
      <w:r>
        <w:t xml:space="preserve"> </w:t>
      </w:r>
      <w:r>
        <w:t xml:space="preserve">Set aside by design — this work is the founder's</w:t>
      </w:r>
      <w:r>
        <w:t xml:space="preserve"> </w:t>
      </w:r>
      <w:r>
        <w:rPr>
          <w:b/>
          <w:bCs/>
        </w:rPr>
        <w:t xml:space="preserve">testimony to his family</w:t>
      </w:r>
      <w:r>
        <w:t xml:space="preserve">, kept true, pastorally safe, and clear, not armored against an opponent. (Panel Registry §6 note.)</w:t>
      </w:r>
    </w:p>
    <w:bookmarkEnd w:id="13"/>
    <w:bookmarkStart w:id="14" w:name="X0873c72a97243cd97d181180eadc778c0c28055"/>
    <w:p>
      <w:pPr>
        <w:pStyle w:val="Heading2"/>
      </w:pPr>
      <w:r>
        <w:t xml:space="preserve">Parked for future sessions (named so nothing is lost)</w:t>
      </w:r>
    </w:p>
    <w:p>
      <w:pPr>
        <w:pStyle w:val="Compact"/>
        <w:numPr>
          <w:ilvl w:val="0"/>
          <w:numId w:val="1004"/>
        </w:numPr>
      </w:pPr>
      <w:r>
        <w:t xml:space="preserve">Full registry</w:t>
      </w:r>
      <w:r>
        <w:t xml:space="preserve"> </w:t>
      </w:r>
      <w:r>
        <w:rPr>
          <w:b/>
          <w:bCs/>
        </w:rPr>
        <w:t xml:space="preserve">claim-by-claim walk-through</w:t>
      </w:r>
      <w:r>
        <w:t xml:space="preserve"> </w:t>
      </w:r>
      <w:r>
        <w:t xml:space="preserve">(§13.2) — its own session.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Frontier-tier quantitative trails</w:t>
      </w:r>
      <w:r>
        <w:t xml:space="preserve"> </w:t>
      </w:r>
      <w:r>
        <w:t xml:space="preserve">— Force equation (V3.Exp3), Conservation Laws (V3.Exp6), the field/energy models — held until evidence and the right expertise (a scripturally grounded mathematical physicist) arrive.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theology-of-creation / time / holiness trails</w:t>
      </w:r>
      <w:r>
        <w:t xml:space="preserve"> </w:t>
      </w:r>
      <w:r>
        <w:t xml:space="preserve">newly opened from</w:t>
      </w:r>
      <w:r>
        <w:t xml:space="preserve"> </w:t>
      </w:r>
      <w:r>
        <w:rPr>
          <w:i/>
          <w:iCs/>
        </w:rPr>
        <w:t xml:space="preserve">The Grammar of Creation</w:t>
      </w:r>
      <w:r>
        <w:t xml:space="preserve">,</w:t>
      </w:r>
      <w:r>
        <w:t xml:space="preserve"> </w:t>
      </w:r>
      <w:r>
        <w:rPr>
          <w:i/>
          <w:iCs/>
        </w:rPr>
        <w:t xml:space="preserve">The Role Atlas</w:t>
      </w:r>
      <w:r>
        <w:t xml:space="preserve">,</w:t>
      </w:r>
      <w:r>
        <w:t xml:space="preserve"> </w:t>
      </w:r>
      <w:r>
        <w:rPr>
          <w:i/>
          <w:iCs/>
        </w:rPr>
        <w:t xml:space="preserve">The Engine Beneath the Force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Formation Companion's</w:t>
      </w:r>
      <w:r>
        <w:t xml:space="preserve"> </w:t>
      </w:r>
      <w:r>
        <w:rPr>
          <w:b/>
          <w:bCs/>
        </w:rPr>
        <w:t xml:space="preserve">Granddaddy note</w:t>
      </w:r>
      <w:r>
        <w:t xml:space="preserve"> </w:t>
      </w:r>
      <w:r>
        <w:t xml:space="preserve">(founder's own; not a Council item).</w:t>
      </w:r>
    </w:p>
    <w:p>
      <w:r>
        <w:pict>
          <v:rect style="width:0;height:1.5pt" o:hralign="center" o:hrstd="t" o:hr="t"/>
        </w:pict>
      </w:r>
    </w:p>
    <w:bookmarkEnd w:id="14"/>
    <w:bookmarkStart w:id="15" w:name="revision-log"/>
    <w:p>
      <w:pPr>
        <w:pStyle w:val="Heading2"/>
      </w:pPr>
      <w:r>
        <w:t xml:space="preserve">Revision log</w:t>
      </w:r>
    </w:p>
    <w:p>
      <w:pPr>
        <w:pStyle w:val="Compact"/>
        <w:numPr>
          <w:ilvl w:val="0"/>
          <w:numId w:val="1005"/>
        </w:numPr>
      </w:pPr>
      <w:r>
        <w:t xml:space="preserve">2026-06-18 — Initial draft built from Vol 6 Part 1 §13, the Research Register, the Panel Registry, and the FC safeguarding section. SCHEMA.md and CONTRIBUTING.md drafted alongside.</w:t>
      </w:r>
    </w:p>
    <w:p>
      <w:pPr>
        <w:pStyle w:val="Compact"/>
        <w:numPr>
          <w:ilvl w:val="0"/>
          <w:numId w:val="1005"/>
        </w:numPr>
      </w:pPr>
      <w:r>
        <w:t xml:space="preserve">2026-06-23 — Founder</w:t>
      </w:r>
      <w:r>
        <w:t xml:space="preserve"> </w:t>
      </w:r>
      <w:r>
        <w:rPr>
          <w:b/>
          <w:bCs/>
        </w:rPr>
        <w:t xml:space="preserve">strengthened the 6th safeguard</w:t>
      </w:r>
      <w:r>
        <w:t xml:space="preserve"> </w:t>
      </w:r>
      <w:r>
        <w:t xml:space="preserve">in the FC chapter from "no solo high-intensity work without a witness or a debrief" to</w:t>
      </w:r>
      <w:r>
        <w:t xml:space="preserve"> </w:t>
      </w:r>
      <w:r>
        <w:rPr>
          <w:b/>
          <w:bCs/>
        </w:rPr>
        <w:t xml:space="preserve">"never one-on-one — a second person is always present"</w:t>
      </w:r>
      <w:r>
        <w:t xml:space="preserve"> </w:t>
      </w:r>
      <w:r>
        <w:t xml:space="preserve">(a fellow Companion ordinarily;</w:t>
      </w:r>
      <w:r>
        <w:t xml:space="preserve"> </w:t>
      </w:r>
      <w:r>
        <w:rPr>
          <w:b/>
          <w:bCs/>
        </w:rPr>
        <w:t xml:space="preserve">another adult where the pilgrim is a minor</w:t>
      </w:r>
      <w:r>
        <w:t xml:space="preserve">). Propagated and</w:t>
      </w:r>
      <w:r>
        <w:t xml:space="preserve"> </w:t>
      </w:r>
      <w:r>
        <w:rPr>
          <w:b/>
          <w:bCs/>
        </w:rPr>
        <w:t xml:space="preserve">mirrored dev→prod</w:t>
      </w:r>
      <w:r>
        <w:t xml:space="preserve"> </w:t>
      </w:r>
      <w:r>
        <w:t xml:space="preserve">everywhere: FC chapter point 6 + closing (dev</w:t>
      </w:r>
      <w:r>
        <w:t xml:space="preserve"> </w:t>
      </w:r>
      <w:r>
        <w:rPr>
          <w:rStyle w:val="VerbatimChar"/>
        </w:rPr>
        <w:t xml:space="preserve">12dfe7a</w:t>
      </w:r>
      <w:r>
        <w:t xml:space="preserve"> </w:t>
      </w:r>
      <w:r>
        <w:t xml:space="preserve">→ prod</w:t>
      </w:r>
      <w:r>
        <w:t xml:space="preserve"> </w:t>
      </w:r>
      <w:r>
        <w:rPr>
          <w:rStyle w:val="VerbatimChar"/>
        </w:rPr>
        <w:t xml:space="preserve">2cca192</w:t>
      </w:r>
      <w:r>
        <w:t xml:space="preserve">, search-index regenerated); the</w:t>
      </w:r>
      <w:r>
        <w:t xml:space="preserve"> </w:t>
      </w:r>
      <w:r>
        <w:rPr>
          <w:b/>
          <w:bCs/>
        </w:rPr>
        <w:t xml:space="preserve">FotH pilot</w:t>
      </w:r>
      <w:r>
        <w:t xml:space="preserve"> </w:t>
      </w:r>
      <w:r>
        <w:t xml:space="preserve">handbooks' "1:1" wording harmonized to the same rule (dev</w:t>
      </w:r>
      <w:r>
        <w:t xml:space="preserve"> </w:t>
      </w:r>
      <w:r>
        <w:rPr>
          <w:rStyle w:val="VerbatimChar"/>
        </w:rPr>
        <w:t xml:space="preserve">403cff5</w:t>
      </w:r>
      <w:r>
        <w:t xml:space="preserve"> </w:t>
      </w:r>
      <w:r>
        <w:t xml:space="preserve">→ prod</w:t>
      </w:r>
      <w:r>
        <w:t xml:space="preserve"> </w:t>
      </w:r>
      <w:r>
        <w:rPr>
          <w:rStyle w:val="VerbatimChar"/>
        </w:rPr>
        <w:t xml:space="preserve">03ad934</w:t>
      </w:r>
      <w:r>
        <w:t xml:space="preserve"> </w:t>
      </w:r>
      <w:r>
        <w:t xml:space="preserve">— the pilot already enforced the two-adult rule); and the journal track matched (JSFSC Part 2 → v4; standalone FC article drafts JSFSC → v4 / CEJ → v3 / merged md). Item 3 now ratifies the</w:t>
      </w:r>
      <w:r>
        <w:t xml:space="preserve"> </w:t>
      </w:r>
      <w:r>
        <w:rPr>
          <w:b/>
          <w:bCs/>
        </w:rPr>
        <w:t xml:space="preserve">strengthened</w:t>
      </w:r>
      <w:r>
        <w:t xml:space="preserve"> </w:t>
      </w:r>
      <w:r>
        <w:t xml:space="preserve">version, already consistent across chapter, pilot, and articles.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2026-09-05T15:23:21Z</dcterms:created>
  <dcterms:modified xsi:type="dcterms:W3CDTF">2026-09-05T15:23:21Z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