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Foundation Inserts — Draft for John</w:t>
      </w:r>
    </w:p>
    <w:p>
      <w:pPr>
        <w:pStyle w:val="Subtitle"/>
      </w:pPr>
      <w:r>
        <w:t xml:space="preserve">The ground under the four principles, and what Volume 2 assumes</w:t>
      </w:r>
    </w:p>
    <w:p>
      <w:pPr>
        <w:pStyle w:val="Author"/>
      </w:pPr>
      <w:r>
        <w:t xml:space="preserve">John G. Tittle</w:t>
      </w:r>
    </w:p>
    <w:p>
      <w:pPr>
        <w:pStyle w:val="Date"/>
      </w:pPr>
      <w:r>
        <w:t xml:space="preserve">Draft v1 — 4 September 2026</w:t>
      </w:r>
    </w:p>
    <w:p>
      <w:pPr>
        <w:pStyle w:val="BlockText"/>
      </w:pPr>
      <w:r>
        <w:rPr>
          <w:b/>
          <w:bCs/>
        </w:rPr>
        <w:t xml:space="preserve">DRAFT v1, for John’s edits.</w:t>
      </w:r>
      <w:r>
        <w:t xml:space="preserve"> </w:t>
      </w:r>
      <w:r>
        <w:t xml:space="preserve">Two proposed inserts, both touching the foundations, so under the light rule they are an</w:t>
      </w:r>
      <w:r>
        <w:t xml:space="preserve"> </w:t>
      </w:r>
      <w:r>
        <w:rPr>
          <w:i/>
          <w:iCs/>
        </w:rPr>
        <w:t xml:space="preserve">Ask</w:t>
      </w:r>
      <w:r>
        <w:t xml:space="preserve"> </w:t>
      </w:r>
      <w:r>
        <w:t xml:space="preserve">for the Council before anything is published. Part A goes into the Introduction. Part B is a new one-page chapter for Volume 2. Part C is the one sentence in the Note on Proof and Certainty that changes with them. Placement notes are in brackets and are not part of the text.</w:t>
      </w:r>
    </w:p>
    <w:p>
      <w:r>
        <w:pict>
          <v:rect style="width:0;height:1.5pt" o:hralign="center" o:hrstd="t" o:hr="t"/>
        </w:pict>
      </w:r>
    </w:p>
    <w:bookmarkStart w:id="10" w:name="part-a-the-ground-the-four-stand-on"/>
    <w:p>
      <w:pPr>
        <w:pStyle w:val="Heading1"/>
      </w:pPr>
      <w:r>
        <w:t xml:space="preserve">Part A — The ground the four stand on</w:t>
      </w:r>
    </w:p>
    <w:p>
      <w:pPr>
        <w:pStyle w:val="FirstParagraph"/>
      </w:pPr>
      <w:r>
        <w:t xml:space="preserve">[Insert in</w:t>
      </w:r>
      <w:r>
        <w:t xml:space="preserve"> </w:t>
      </w:r>
      <w:r>
        <w:rPr>
          <w:i/>
          <w:iCs/>
        </w:rPr>
        <w:t xml:space="preserve">The Four Foundational Principles</w:t>
      </w:r>
      <w:r>
        <w:t xml:space="preserve">, immediately after the opening paragraph that ends</w:t>
      </w:r>
      <w:r>
        <w:t xml:space="preserve"> </w:t>
      </w:r>
      <w:r>
        <w:t xml:space="preserve">“These are working axioms, not dogma,”</w:t>
      </w:r>
      <w:r>
        <w:t xml:space="preserve"> </w:t>
      </w:r>
      <w:r>
        <w:t xml:space="preserve">and before the C. S. Lewis caution. Heading level matches the chapter’s H2s.]</w:t>
      </w:r>
    </w:p>
    <w:bookmarkStart w:id="9" w:name="the-ground-the-four-stand-on"/>
    <w:p>
      <w:pPr>
        <w:pStyle w:val="Heading2"/>
      </w:pPr>
      <w:r>
        <w:t xml:space="preserve">The ground the four stand on</w:t>
      </w:r>
    </w:p>
    <w:p>
      <w:pPr>
        <w:pStyle w:val="FirstParagraph"/>
      </w:pPr>
      <w:r>
        <w:t xml:space="preserve">Before the four, one thing I have assumed on every page of this work and never said out loud. I hold that Scripture is true and reliable: the norming norm, as the Reformers called it, the rule that measures every other rule, including every law in these volumes (Ps. 19:7–9; Ps. 119:160; Isa. 40:8; John 17:17; 2 Tim. 3:16–17). It is not a fifth axiom. I hold the four below as working assumptions I expect to refine, and I am not willing to refine this one. It carries no confidence tier, because it is the thing the tiers are measured against. Every test I use assumes it: the first of my four tests for a law is</w:t>
      </w:r>
      <w:r>
        <w:t xml:space="preserve"> </w:t>
      </w:r>
      <w:r>
        <w:t xml:space="preserve">“does it line up with Scripture,”</w:t>
      </w:r>
      <w:r>
        <w:t xml:space="preserve"> </w:t>
      </w:r>
      <w:r>
        <w:t xml:space="preserve">Clearly Taught is defined as what Scripture plainly teaches, and the five tests of the Scripture-Grounding Standard in Volume 6 are all tests of how faithfully a chapter handles a text that is presumed true. So I name it here once, plainly. Where a law of mine and the Word disagree, the law is wrong.</w:t>
      </w:r>
    </w:p>
    <w:p>
      <w:pPr>
        <w:pStyle w:val="BodyText"/>
      </w:pPr>
      <w:r>
        <w:t xml:space="preserve">With it comes its twin, which I also hold and also will not argue: the God who spoke in Scripture still speaks, to His children, now, never against what He has written, and He can be heard (John 10:27; John 16:13; Heb. 1:1–2; Isa. 55:10–11; Rom. 10:17). Take that away and there is no engine in the middle of the map, and nothing in Volume 2 to clear. I know that some traditions I love and learned from hold this more narrowly than I do. I say it so you know where I stand, and so you can test everything that follows against it.</w:t>
      </w:r>
    </w:p>
    <w:p>
      <w:pPr>
        <w:pStyle w:val="BodyText"/>
      </w:pPr>
      <w:r>
        <w:t xml:space="preserve">Two things I am not claiming. I am not claiming a hermeneutic. How I read is disciplined by the Scripture-Grounding Standard, and I can be wrong in my reading, and the tiers exist to say how sure I am of a reading, not of the text. And I am not claiming a doctrine of inspiration in any one tradition’s form; this work belongs to none of them. I am claiming trust. The Word is true, it is reliable, it does its work, and it outranks me.</w:t>
      </w:r>
    </w:p>
    <w:p>
      <w:r>
        <w:pict>
          <v:rect style="width:0;height:1.5pt" o:hralign="center" o:hrstd="t" o:hr="t"/>
        </w:pict>
      </w:r>
    </w:p>
    <w:bookmarkEnd w:id="9"/>
    <w:bookmarkEnd w:id="10"/>
    <w:bookmarkStart w:id="11" w:name="X75a517c53dd5489dbd39463d9130039fd5030f1"/>
    <w:p>
      <w:pPr>
        <w:pStyle w:val="Heading1"/>
      </w:pPr>
      <w:r>
        <w:t xml:space="preserve">Part B — Before the Tools: What This Volume Assumes</w:t>
      </w:r>
    </w:p>
    <w:p>
      <w:pPr>
        <w:pStyle w:val="FirstParagraph"/>
      </w:pPr>
      <w:r>
        <w:t xml:space="preserve">[New chapter in Volume 2. File:</w:t>
      </w:r>
      <w:r>
        <w:t xml:space="preserve"> </w:t>
      </w:r>
      <w:r>
        <w:rPr>
          <w:rStyle w:val="VerbatimChar"/>
        </w:rPr>
        <w:t xml:space="preserve">docs/volume-2-knowing-to-doing/before-the-tools-what-this-volume-assumes.md</w:t>
      </w:r>
      <w:r>
        <w:t xml:space="preserve">. Place it after</w:t>
      </w:r>
      <w:r>
        <w:t xml:space="preserve"> </w:t>
      </w:r>
      <w:r>
        <w:rPr>
          <w:i/>
          <w:iCs/>
        </w:rPr>
        <w:t xml:space="preserve">Introduction: The Bridge from Knowing to Doing</w:t>
      </w:r>
      <w:r>
        <w:t xml:space="preserve"> </w:t>
      </w:r>
      <w:r>
        <w:t xml:space="preserve">and before the</w:t>
      </w:r>
      <w:r>
        <w:t xml:space="preserve"> </w:t>
      </w:r>
      <w:r>
        <w:rPr>
          <w:i/>
          <w:iCs/>
        </w:rPr>
        <w:t xml:space="preserve">Taxonomy Key</w:t>
      </w:r>
      <w:r>
        <w:t xml:space="preserve">, so the reader meets the assumptions before the machinery. Add to the Volume 2 index and manifest. Registry: five entries of the same type as V1.Ax1–4,</w:t>
      </w:r>
      <w:r>
        <w:t xml:space="preserve"> </w:t>
      </w:r>
      <w:r>
        <w:rPr>
          <w:rStyle w:val="VerbatimChar"/>
        </w:rPr>
        <w:t xml:space="preserve">V2.Ax1–5</w:t>
      </w:r>
      <w:r>
        <w:t xml:space="preserve">, so no schema change is needed.]</w:t>
      </w:r>
    </w:p>
    <w:bookmarkEnd w:id="11"/>
    <w:bookmarkStart w:id="12" w:name="Xb80cee9b77249d96247bf9272878e3a7115e010"/>
    <w:p>
      <w:pPr>
        <w:pStyle w:val="Heading1"/>
      </w:pPr>
      <w:r>
        <w:t xml:space="preserve">Before the Tools: What This Volume Assumes</w:t>
      </w:r>
    </w:p>
    <w:p>
      <w:pPr>
        <w:pStyle w:val="FirstParagraph"/>
      </w:pPr>
      <w:r>
        <w:t xml:space="preserve">Exploration 0 asks four questions of every tool this volume imports:</w:t>
      </w:r>
      <w:r>
        <w:t xml:space="preserve"> </w:t>
      </w:r>
      <w:r>
        <w:rPr>
          <w:i/>
          <w:iCs/>
        </w:rPr>
        <w:t xml:space="preserve">what is a person, what is wrong with us, what heals us, and whose work is it?</w:t>
      </w:r>
      <w:r>
        <w:t xml:space="preserve"> </w:t>
      </w:r>
      <w:r>
        <w:t xml:space="preserve">It asks because every tool carries answers whether or not anyone states them, and the answers shape what a participant absorbs even when the surface content is impeccably Christian. I have asked those questions of Powlison’s grid, of Mindell’s carpet work, of the Grief Recovery Handbook, of Heidegger by way of a men’s weekend. I have never asked them of my own volume. This page does. These are the assumptions the heart work runs on. They are the ground, not laws, and I hold them the way Volume 1 holds its four principles: firmly enough to build on, loosely enough to be corrected by Scripture and by the community that tests this work. Where one of them rests on a claim I have already rated, I say so.</w:t>
      </w:r>
    </w:p>
    <w:p>
      <w:pPr>
        <w:pStyle w:val="BodyText"/>
      </w:pPr>
      <w:r>
        <w:rPr>
          <w:b/>
          <w:bCs/>
        </w:rPr>
        <w:t xml:space="preserve">1. A person is a nested whole, and the heart is the center.</w:t>
      </w:r>
      <w:r>
        <w:t xml:space="preserve"> </w:t>
      </w:r>
      <w:r>
        <w:t xml:space="preserve">Spirit, heart, soul, mind, and body, made in the image of God, with the heart as the place through which all formation passes and out of which life flows (Gen. 1:27; Prov. 4:23; 1 Thess. 5:23; Heb. 4:12; Mark 7:21). Change runs from the inside out. A tool that changes behavior without reaching the heart has managed a symptom. I hold the heart’s centrality as Clearly Taught and the full map of the person, worked out in Volume 1’s Second Exploration and the Theological Anthropology paper, as Reasonably Inferred.</w:t>
      </w:r>
    </w:p>
    <w:p>
      <w:pPr>
        <w:pStyle w:val="BodyText"/>
      </w:pPr>
      <w:r>
        <w:rPr>
          <w:b/>
          <w:bCs/>
        </w:rPr>
        <w:t xml:space="preserve">2. What is wrong is blockage, not absence.</w:t>
      </w:r>
      <w:r>
        <w:t xml:space="preserve"> </w:t>
      </w:r>
      <w:r>
        <w:t xml:space="preserve">The laws of Volume 1 are true. Most of us cannot live in them most of the time because the channel between the Word and the heart is clogged: by wounds we did not choose, by sin we did, by lies we believed and lived, and by agreements we made long ago and forgot we signed (Mark 4:3–20; Isa. 59:1–2; Heb. 3:12–13; John 8:44; Ps. 32:3). The work of this volume is clearing, not adding. And the channel is contested. Whether the enemy actively keeps it clogged is something this volume tests in Exploration 2B rather than assumes here; that the ground is contested at all, I do assume (Eph. 6:12; 1 Pet. 5:8).</w:t>
      </w:r>
    </w:p>
    <w:p>
      <w:pPr>
        <w:pStyle w:val="BodyText"/>
      </w:pPr>
      <w:r>
        <w:rPr>
          <w:b/>
          <w:bCs/>
        </w:rPr>
        <w:t xml:space="preserve">3. The Holy Spirit does the healing, through the Word.</w:t>
      </w:r>
      <w:r>
        <w:t xml:space="preserve"> </w:t>
      </w:r>
      <w:r>
        <w:t xml:space="preserve">Not the tool, not the process, not the Companion. Paul planted, Apollos watered, and God gave the growth (1 Cor. 3:6–7). The wind blows where it wishes (John 3:8). It is God who works in you (Phil. 2:13), and we are changed by beholding, not by technique (2 Cor. 3:18). Every tool in this volume only opens a door; the Spirit walks through it, or does not, in His time. This is the assumption that guards all the others. The moment anything in this volume starts to feel like a lever, set it down and come back to Him.</w:t>
      </w:r>
    </w:p>
    <w:p>
      <w:pPr>
        <w:pStyle w:val="BodyText"/>
      </w:pPr>
      <w:r>
        <w:rPr>
          <w:b/>
          <w:bCs/>
        </w:rPr>
        <w:t xml:space="preserve">4. Formation is never solitary.</w:t>
      </w:r>
      <w:r>
        <w:t xml:space="preserve"> </w:t>
      </w:r>
      <w:r>
        <w:t xml:space="preserve">The chain that produces faith needs someone sent, someone preaching, someone hearing (Rom. 10:14–17). Sins are confessed to one another (Jas. 5:16). The body grows by what every joint supplies (Eph. 4:15–16), gathers to stir one another up (Heb. 10:24–25), and discerns together what no member sees alone (Matt. 18:20; Acts 15:28). Solitude is a medium of formation, and the desert fathers and mothers prove how deep it can go; they also show how thin the body can be and still be a body: one elder, a weekly table, and a rule. What the desert never allowed was the unwitnessed soul, and its own cautionary tales are about the monk who consulted no one. Work done alone has a ceiling and a danger: the ninth Exploration names the closed loop that turns private, then strange. The container is simply the community’s preparation to do this well.</w:t>
      </w:r>
    </w:p>
    <w:p>
      <w:pPr>
        <w:pStyle w:val="BodyText"/>
      </w:pPr>
      <w:r>
        <w:rPr>
          <w:b/>
          <w:bCs/>
        </w:rPr>
        <w:t xml:space="preserve">5. It is the Spirit’s work, received by consent, witnessed by the body, escorted by a Companion, under a covering.</w:t>
      </w:r>
      <w:r>
        <w:t xml:space="preserve"> </w:t>
      </w:r>
      <w:r>
        <w:t xml:space="preserve">No one is formed by force. The participant chooses each step and may stop at any step. The community witnesses, and no adult is ever alone with a pilgrim. The Companion escorts, offering the next question and letting the pilgrim choose, and keeps their own material out of the pilgrim’s work; a Companion who has not first received a practice does not lead it. And all of it is under a named spiritual authority, close enough to see the lives involved, because no one in this work leads uncovered (Gal. 6:1; Heb. 13:17; 1 Tim. 5:22; 1 Pet. 5:2–3).</w:t>
      </w:r>
    </w:p>
    <w:p>
      <w:pPr>
        <w:pStyle w:val="BodyText"/>
      </w:pPr>
      <w:r>
        <w:rPr>
          <w:b/>
          <w:bCs/>
        </w:rPr>
        <w:t xml:space="preserve">The theory of action, in one sentence.</w:t>
      </w:r>
      <w:r>
        <w:t xml:space="preserve"> </w:t>
      </w:r>
      <w:r>
        <w:t xml:space="preserve">Everything in this volume rests on one expectation: that if you want to hear, and you bring what blocks you into the light, with the Word open, a few brothers or sisters beside you, and someone over you who can see your life, the Holy Spirit will clear the way, and the laws I wrote down in Volume 1 will start to work in you the way they were written.</w:t>
      </w:r>
    </w:p>
    <w:p>
      <w:pPr>
        <w:pStyle w:val="BodyText"/>
      </w:pPr>
      <w:r>
        <w:rPr>
          <w:b/>
          <w:bCs/>
        </w:rPr>
        <w:t xml:space="preserve">What this page does to Volume 4.</w:t>
      </w:r>
      <w:r>
        <w:t xml:space="preserve"> </w:t>
      </w:r>
      <w:r>
        <w:t xml:space="preserve">Two of these assumptions appear in the testing volume as hypotheses: that community is essential to faith formation, and that the heart is the center through which formation passes. A thing cannot be both an axiom and a claim under test, so I split them the way the Scripture-Grounding Standard splits every mixed claim. The principle is assumed here. The operational form stays on the bench: whether a group’s Tell-Rate predicts its trajectory, whether a heart profile moves the way the taxonomy says it should. If the bench ever shows the principle itself is wrong, this page changes, and the Council will hear it first.</w:t>
      </w:r>
    </w:p>
    <w:p>
      <w:pPr>
        <w:pStyle w:val="BodyText"/>
      </w:pPr>
      <w:r>
        <w:rPr>
          <w:b/>
          <w:bCs/>
        </w:rPr>
        <w:t xml:space="preserve">A word about scaffolding.</w:t>
      </w:r>
      <w:r>
        <w:t xml:space="preserve"> </w:t>
      </w:r>
      <w:r>
        <w:t xml:space="preserve">Volume 1’s four principles fit on a page. These five do too, and that is deliberate. They are here so that the tools cannot quietly answer these questions for you, not so that you have five more things to master before you are allowed to come to God. If they ever become a system, assumption three is the way back.</w:t>
      </w:r>
    </w:p>
    <w:p>
      <w:r>
        <w:pict>
          <v:rect style="width:0;height:1.5pt" o:hralign="center" o:hrstd="t" o:hr="t"/>
        </w:pict>
      </w:r>
    </w:p>
    <w:bookmarkEnd w:id="12"/>
    <w:bookmarkStart w:id="13" w:name="Xcbe3b54ee1be7224403eb4233fbe24c099c7ab9"/>
    <w:p>
      <w:pPr>
        <w:pStyle w:val="Heading1"/>
      </w:pPr>
      <w:r>
        <w:t xml:space="preserve">Part C — One sentence in the Note on Proof and Certainty</w:t>
      </w:r>
    </w:p>
    <w:p>
      <w:pPr>
        <w:pStyle w:val="FirstParagraph"/>
      </w:pPr>
      <w:r>
        <w:t xml:space="preserve">[In</w:t>
      </w:r>
      <w:r>
        <w:t xml:space="preserve"> </w:t>
      </w:r>
      <w:r>
        <w:rPr>
          <w:i/>
          <w:iCs/>
        </w:rPr>
        <w:t xml:space="preserve">A Note on Proof and Certainty</w:t>
      </w:r>
      <w:r>
        <w:t xml:space="preserve">, first paragraph, after</w:t>
      </w:r>
      <w:r>
        <w:t xml:space="preserve"> </w:t>
      </w:r>
      <w:r>
        <w:t xml:space="preserve">“My standard for what counts as a provisional</w:t>
      </w:r>
      <w:r>
        <w:t xml:space="preserve"> </w:t>
      </w:r>
      <w:r>
        <w:t xml:space="preserve">‘law’</w:t>
      </w:r>
      <w:r>
        <w:t xml:space="preserve"> </w:t>
      </w:r>
      <w:r>
        <w:t xml:space="preserve">is fourfold: it lines up with scripture; the Spirit of Truth witnesses to it; it is recognized (at least partially) by a community of practitioners; and it is testable in the natural, meaning it produces observable results in the lives of people who operate according to it.”</w:t>
      </w:r>
      <w:r>
        <w:t xml:space="preserve"> </w:t>
      </w:r>
      <w:r>
        <w:t xml:space="preserve">Append:]</w:t>
      </w:r>
    </w:p>
    <w:p>
      <w:pPr>
        <w:pStyle w:val="BodyText"/>
      </w:pPr>
      <w:r>
        <w:t xml:space="preserve">The first of those tests presumes what the Four Foundational Principles now say outright: Scripture is true and reliable, and it is not on trial in these pages. It is the court.</w:t>
      </w:r>
    </w:p>
    <w:p>
      <w:r>
        <w:pict>
          <v:rect style="width:0;height:1.5pt" o:hralign="center" o:hrstd="t" o:hr="t"/>
        </w:pict>
      </w:r>
    </w:p>
    <w:p>
      <w:pPr>
        <w:pStyle w:val="FirstParagraph"/>
      </w:pPr>
      <w:r>
        <w:rPr>
          <w:i/>
          <w:iCs/>
        </w:rPr>
        <w:t xml:space="preserve">Prepared for John’s review, 4 September 2026. Nothing above is in the published volumes; all three inserts are an Ask for the Council under the light rule.</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Foundation Inserts — Draft for John</dc:title>
  <dc:creator>John G. Tittle</dc:creator>
  <cp:keywords/>
  <dcterms:created xsi:type="dcterms:W3CDTF">2026-09-07T14:26:13Z</dcterms:created>
  <dcterms:modified xsi:type="dcterms:W3CDTF">2026-09-07T14:26:13Z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v1 — 4 September 2026</vt:lpwstr>
  </property>
  <property fmtid="{D5CDD505-2E9C-101B-9397-08002B2CF9AE}" pid="3" name="subtitle">
    <vt:lpwstr>The ground under the four principles, and what Volume 2 assumes</vt:lpwstr>
  </property>
</Properties>
</file>