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The Vignette Bench</w:t>
      </w:r>
    </w:p>
    <w:p>
      <w:pPr>
        <w:spacing w:after="60"/>
        <w:jc w:val="center"/>
      </w:pPr>
      <w:r>
        <w:rPr>
          <w:b/>
          <w:bCs/>
        </w:rPr>
        <w:t xml:space="preserve">Rater Packet, version 1 — 35 portraits</w:t>
      </w:r>
    </w:p>
    <w:p>
      <w:pPr>
        <w:spacing w:after="400"/>
        <w:jc w:val="center"/>
      </w:pPr>
      <w:r>
        <w:rPr>
          <w:i/>
          <w:iCs/>
        </w:rPr>
        <w:t xml:space="preserve">Intentional Journey of the Heart · Volume 4 validation program · 2026</w:t>
      </w:r>
    </w:p>
    <w:p>
      <w:pPr>
        <w:pStyle w:val="Heading1"/>
        <w:spacing w:after="160" w:before="320"/>
      </w:pPr>
      <w:r>
        <w:t xml:space="preserve">1. What this is, and the ground rules</w:t>
      </w:r>
    </w:p>
    <w:p>
      <w:pPr>
        <w:spacing w:after="140"/>
      </w:pPr>
      <w:r>
        <w:rPr>
          <w:b w:val="false"/>
          <w:bCs w:val="false"/>
          <w:i w:val="false"/>
          <w:iCs w:val="false"/>
        </w:rPr>
        <w:t xml:space="preserve">This packet contains thirty-five short written portraits of persons and congregations, drawn from scripture, from documented history, and from constructed modern cases. Your task is to read each portrait and record, on the separate Rating Sheet, the level of spiritual internalization the documented behavior shows. Your ratings help validate a set of formation instruments before they are ever used with living participants — you are testing the questions, and no living person is being assessed.</w:t>
      </w:r>
    </w:p>
    <w:p>
      <w:pPr>
        <w:spacing w:after="140"/>
      </w:pPr>
      <w:r>
        <w:rPr>
          <w:b w:val="false"/>
          <w:bCs w:val="false"/>
          <w:i w:val="false"/>
          <w:iCs w:val="false"/>
        </w:rPr>
        <w:t xml:space="preserve">Ground rules, each one load-bearing:</w:t>
      </w:r>
    </w:p>
    <w:p>
      <w:pPr>
        <w:pStyle w:val="ListParagraph"/>
        <w:numPr>
          <w:ilvl w:val="0"/>
          <w:numId w:val="2"/>
        </w:numPr>
        <w:spacing w:after="80"/>
      </w:pPr>
      <w:r>
        <w:rPr>
          <w:b/>
          <w:bCs/>
        </w:rPr>
        <w:t xml:space="preserve">Work alone. </w:t>
      </w:r>
      <w:r>
        <w:t xml:space="preserve">Do not discuss the portraits with anyone until your sheet is returned.</w:t>
      </w:r>
    </w:p>
    <w:p>
      <w:pPr>
        <w:pStyle w:val="ListParagraph"/>
        <w:numPr>
          <w:ilvl w:val="0"/>
          <w:numId w:val="2"/>
        </w:numPr>
        <w:spacing w:after="80"/>
      </w:pPr>
      <w:r>
        <w:rPr>
          <w:b/>
          <w:bCs/>
        </w:rPr>
        <w:t xml:space="preserve">Do not research. </w:t>
      </w:r>
      <w:r>
        <w:t xml:space="preserve">You may recognize some figures; that is expected and fine. But rate only what the portrait’s text documents — not what you know or can look up about the person from elsewhere.</w:t>
      </w:r>
    </w:p>
    <w:p>
      <w:pPr>
        <w:pStyle w:val="ListParagraph"/>
        <w:numPr>
          <w:ilvl w:val="0"/>
          <w:numId w:val="2"/>
        </w:numPr>
        <w:spacing w:after="80"/>
      </w:pPr>
      <w:r>
        <w:rPr>
          <w:b/>
          <w:bCs/>
        </w:rPr>
        <w:t xml:space="preserve">Rate the record, not the reputation. </w:t>
      </w:r>
      <w:r>
        <w:t xml:space="preserve">Every verdict should be defensible from sentences in the portrait itself.</w:t>
      </w:r>
    </w:p>
    <w:p>
      <w:pPr>
        <w:pStyle w:val="ListParagraph"/>
        <w:numPr>
          <w:ilvl w:val="0"/>
          <w:numId w:val="2"/>
        </w:numPr>
        <w:spacing w:after="80"/>
      </w:pPr>
      <w:r>
        <w:rPr>
          <w:b/>
          <w:bCs/>
        </w:rPr>
        <w:t xml:space="preserve">There are no trick failures. </w:t>
      </w:r>
      <w:r>
        <w:t xml:space="preserve">Some portraits are deliberately hard, and some verdicts other raters give will differ from yours. Honest disagreement is data we need, not error.</w:t>
      </w:r>
    </w:p>
    <w:p>
      <w:pPr>
        <w:pStyle w:val="ListParagraph"/>
        <w:numPr>
          <w:ilvl w:val="0"/>
          <w:numId w:val="2"/>
        </w:numPr>
        <w:spacing w:after="80"/>
      </w:pPr>
      <w:r>
        <w:rPr>
          <w:b/>
          <w:bCs/>
        </w:rPr>
        <w:t xml:space="preserve">You may be moved. </w:t>
      </w:r>
      <w:r>
        <w:t xml:space="preserve">These are portraits of souls. The standard this project holds for all its measurement is: measure nothing you will not weep over. That applies to raters too.</w:t>
      </w:r>
    </w:p>
    <w:p>
      <w:pPr>
        <w:pStyle w:val="Heading1"/>
        <w:spacing w:after="160" w:before="320"/>
      </w:pPr>
      <w:r>
        <w:t xml:space="preserve">2. How to score — the five levels</w:t>
      </w:r>
    </w:p>
    <w:p>
      <w:pPr>
        <w:spacing w:after="140"/>
      </w:pPr>
      <w:r>
        <w:rPr>
          <w:b w:val="false"/>
          <w:bCs w:val="false"/>
          <w:i w:val="false"/>
          <w:iCs w:val="false"/>
        </w:rPr>
        <w:t xml:space="preserve">Rate the dominant level of internalization shown by the documented behavior:</w:t>
      </w:r>
    </w:p>
    <w:p>
      <w:pPr>
        <w:pStyle w:val="ListParagraph"/>
        <w:numPr>
          <w:ilvl w:val="0"/>
          <w:numId w:val="2"/>
        </w:numPr>
        <w:spacing w:after="80"/>
      </w:pPr>
      <w:r>
        <w:rPr>
          <w:b/>
          <w:bCs/>
        </w:rPr>
        <w:t xml:space="preserve">1 — Receiving. </w:t>
      </w:r>
      <w:r>
        <w:t xml:space="preserve">Genuine attention, openness, seeking. Evidence: attending, listening, reading, asking, showing up.</w:t>
      </w:r>
    </w:p>
    <w:p>
      <w:pPr>
        <w:pStyle w:val="ListParagraph"/>
        <w:numPr>
          <w:ilvl w:val="0"/>
          <w:numId w:val="2"/>
        </w:numPr>
        <w:spacing w:after="80"/>
      </w:pPr>
      <w:r>
        <w:rPr>
          <w:b/>
          <w:bCs/>
        </w:rPr>
        <w:t xml:space="preserve">2 — Responding. </w:t>
      </w:r>
      <w:r>
        <w:t xml:space="preserve">Active engagement and produced work: participation, tasks completed, practices kept — possibly sustained by outside structure (a group, a mentor, a program). Responding is a good and necessary level, not a failing grade.</w:t>
      </w:r>
    </w:p>
    <w:p>
      <w:pPr>
        <w:pStyle w:val="ListParagraph"/>
        <w:numPr>
          <w:ilvl w:val="0"/>
          <w:numId w:val="2"/>
        </w:numPr>
        <w:spacing w:after="80"/>
      </w:pPr>
      <w:r>
        <w:rPr>
          <w:b/>
          <w:bCs/>
        </w:rPr>
        <w:t xml:space="preserve">3 — Valuing. </w:t>
      </w:r>
      <w:r>
        <w:t xml:space="preserve">Voluntary, unprompted, costly commitment. The tell is that nobody asked, and it cost something real.</w:t>
      </w:r>
    </w:p>
    <w:p>
      <w:pPr>
        <w:pStyle w:val="ListParagraph"/>
        <w:numPr>
          <w:ilvl w:val="0"/>
          <w:numId w:val="2"/>
        </w:numPr>
        <w:spacing w:after="80"/>
      </w:pPr>
      <w:r>
        <w:rPr>
          <w:b/>
          <w:bCs/>
        </w:rPr>
        <w:t xml:space="preserve">4 — Organization. </w:t>
      </w:r>
      <w:r>
        <w:t xml:space="preserve">The value system visibly ordering a whole life’s competing goods over time — calendar, money, career, relationships arranged by it.</w:t>
      </w:r>
    </w:p>
    <w:p>
      <w:pPr>
        <w:pStyle w:val="ListParagraph"/>
        <w:numPr>
          <w:ilvl w:val="0"/>
          <w:numId w:val="2"/>
        </w:numPr>
        <w:spacing w:after="80"/>
      </w:pPr>
      <w:r>
        <w:rPr>
          <w:b/>
          <w:bCs/>
        </w:rPr>
        <w:t xml:space="preserve">5 — Characterization. </w:t>
      </w:r>
      <w:r>
        <w:t xml:space="preserve">Settled consistency across contexts and decades, witnessed by others, unself-conscious. This level cannot be shown by any single scene; it takes a long record and other people’s testimony.</w:t>
      </w:r>
    </w:p>
    <w:p>
      <w:pPr>
        <w:spacing w:after="140"/>
      </w:pPr>
      <w:r>
        <w:rPr>
          <w:b w:val="false"/>
          <w:bCs w:val="false"/>
          <w:i w:val="false"/>
          <w:iCs w:val="false"/>
        </w:rPr>
        <w:t xml:space="preserve">The kind of evidence must match the level. A person cannot be rated 3 without voluntariness, 4 without life-architecture, or 5 without long, multi-witness consistency — no matter how warm the language of the portrait feels.</w:t>
      </w:r>
    </w:p>
    <w:p>
      <w:pPr>
        <w:pStyle w:val="Heading1"/>
        <w:spacing w:after="160" w:before="320"/>
      </w:pPr>
      <w:r>
        <w:t xml:space="preserve">3. The four guards and the special verdicts</w:t>
      </w:r>
    </w:p>
    <w:p>
      <w:pPr>
        <w:pStyle w:val="ListParagraph"/>
        <w:numPr>
          <w:ilvl w:val="0"/>
          <w:numId w:val="2"/>
        </w:numPr>
        <w:spacing w:after="80"/>
      </w:pPr>
      <w:r>
        <w:rPr>
          <w:b/>
          <w:bCs/>
        </w:rPr>
        <w:t xml:space="preserve">The contradiction guard — verdict C-LOW. </w:t>
      </w:r>
      <w:r>
        <w:t xml:space="preserve">Where the portrait documents impressive religious forms and a record that contradicts their center (piety over exploitation, service over a hostile heart), do not rate the forms. Write C-LOW: the contradiction is the finding.</w:t>
      </w:r>
    </w:p>
    <w:p>
      <w:pPr>
        <w:pStyle w:val="ListParagraph"/>
        <w:numPr>
          <w:ilvl w:val="0"/>
          <w:numId w:val="2"/>
        </w:numPr>
        <w:spacing w:after="80"/>
      </w:pPr>
      <w:r>
        <w:rPr>
          <w:b/>
          <w:bCs/>
        </w:rPr>
        <w:t xml:space="preserve">The dryness guard. </w:t>
      </w:r>
      <w:r>
        <w:t xml:space="preserve">Felt darkness, dryness, or even anger — with desire still pointed toward God — is never by itself evidence of a low level. Ask which way the desire points, not how warm the feelings are.</w:t>
      </w:r>
    </w:p>
    <w:p>
      <w:pPr>
        <w:pStyle w:val="ListParagraph"/>
        <w:numPr>
          <w:ilvl w:val="0"/>
          <w:numId w:val="2"/>
        </w:numPr>
        <w:spacing w:after="80"/>
      </w:pPr>
      <w:r>
        <w:rPr>
          <w:b/>
          <w:bCs/>
        </w:rPr>
        <w:t xml:space="preserve">The time floor — verdict DECLINE. </w:t>
      </w:r>
      <w:r>
        <w:t xml:space="preserve">Where the record contains too little time or behavior to evidence any degree of formation at all, the honest verdict is DECLINE: this record cannot be rated. A DECLINE is never a judgment on the soul; it is a confession about the tool. This scale measures formation over time — it does not and cannot measure a person’s standing before God.</w:t>
      </w:r>
    </w:p>
    <w:p>
      <w:pPr>
        <w:pStyle w:val="ListParagraph"/>
        <w:numPr>
          <w:ilvl w:val="0"/>
          <w:numId w:val="2"/>
        </w:numPr>
        <w:spacing w:after="80"/>
      </w:pPr>
      <w:r>
        <w:rPr>
          <w:b/>
          <w:bCs/>
        </w:rPr>
        <w:t xml:space="preserve">Below the scale. </w:t>
      </w:r>
      <w:r>
        <w:t xml:space="preserve">If a portrait shows no genuine attention at all — the seed never landed — note “below 1” in your reason. The scale’s numbers begin where attention begins.</w:t>
      </w:r>
    </w:p>
    <w:p>
      <w:pPr>
        <w:spacing w:after="140"/>
      </w:pPr>
      <w:r>
        <w:rPr>
          <w:b w:val="false"/>
          <w:bCs w:val="false"/>
          <w:i w:val="false"/>
          <w:iCs w:val="false"/>
        </w:rPr>
        <w:t xml:space="preserve">Congregation portraits: four portraits describe whole congregations rather than persons. For these, write a short phrase (six words or fewer) giving the community’s true condition as the record shows it — not a number.</w:t>
      </w:r>
    </w:p>
    <w:p>
      <w:pPr>
        <w:spacing w:after="140"/>
      </w:pPr>
      <w:r>
        <w:rPr>
          <w:b w:val="false"/>
          <w:bCs w:val="false"/>
          <w:i w:val="false"/>
          <w:iCs w:val="false"/>
        </w:rPr>
        <w:t xml:space="preserve">Two-scene portraits: three portraits (V12, V14, V15) present a “Panel one” and “Panel two” from the same life. Rate each panel separately on its own row of the Rating Sheet (V12a and V12b, and so on). Do not average a life; a soul is a road, not a photograph.</w:t>
      </w:r>
    </w:p>
    <w:p>
      <w:pPr>
        <w:pStyle w:val="Heading1"/>
        <w:spacing w:after="160" w:before="320"/>
      </w:pPr>
      <w:r>
        <w:t xml:space="preserve">4. Three worked examples (not in your set)</w:t>
      </w:r>
    </w:p>
    <w:p>
      <w:pPr>
        <w:pStyle w:val="Heading2"/>
        <w:spacing w:after="120" w:before="280"/>
      </w:pPr>
      <w:r>
        <w:t xml:space="preserve">Example A — rated 3</w:t>
      </w:r>
    </w:p>
    <w:p>
      <w:pPr>
        <w:spacing w:after="140"/>
      </w:pPr>
      <w:r>
        <w:rPr>
          <w:b w:val="false"/>
          <w:bCs w:val="false"/>
          <w:i w:val="false"/>
          <w:iCs w:val="false"/>
        </w:rPr>
        <w:t xml:space="preserve">A foreign officer, respected but an outsider to the faith, has at his own expense built the local house of worship — the community’s elders vouch for him unprompted. When his servant falls deathly ill, he sends for a visiting healer, then sends again to say: do not trouble yourself to come under my roof; I am not worthy; only say the word. (Luke 7:1–10.)</w:t>
      </w:r>
    </w:p>
    <w:p>
      <w:pPr>
        <w:spacing w:after="140"/>
      </w:pPr>
      <w:r>
        <w:rPr>
          <w:b/>
          <w:bCs/>
        </w:rPr>
        <w:t xml:space="preserve">Why 3: </w:t>
      </w:r>
      <w:r>
        <w:t xml:space="preserve">the building of the synagogue is voluntary, unprompted, and costly — exactly the kind of evidence level 3 requires — and the message shows the posture behind it. Why not higher: one episode, however remarkable, cannot document a whole life’s architecture (4) or decades of witnessed consistency (5).</w:t>
      </w:r>
    </w:p>
    <w:p>
      <w:pPr>
        <w:pStyle w:val="Heading2"/>
        <w:spacing w:after="120" w:before="280"/>
      </w:pPr>
      <w:r>
        <w:t xml:space="preserve">Example B — rated 1</w:t>
      </w:r>
    </w:p>
    <w:p>
      <w:pPr>
        <w:spacing w:after="140"/>
      </w:pPr>
      <w:r>
        <w:rPr>
          <w:b w:val="false"/>
          <w:bCs w:val="false"/>
          <w:i w:val="false"/>
          <w:iCs w:val="false"/>
        </w:rPr>
        <w:t xml:space="preserve">A professional attends every conference her city hosts on the spiritual life — front row, full notebook, intelligent questions at the microphone. Her bookshelf is deep and genuinely read. In eleven years of this, she has joined nothing, practiced nothing, and changed nothing that anyone close to her can name.</w:t>
      </w:r>
    </w:p>
    <w:p>
      <w:pPr>
        <w:spacing w:after="140"/>
      </w:pPr>
      <w:r>
        <w:rPr>
          <w:b/>
          <w:bCs/>
        </w:rPr>
        <w:t xml:space="preserve">Why 1: </w:t>
      </w:r>
      <w:r>
        <w:t xml:space="preserve">all the produced activity — notes, questions, reading — is about the material; none of it is a response of the person: no practice begun, no commitment risked, no decision changed. That is elaborated, sophisticated attention: Receiving. The boundary between 1 and 2 is whether anything crosses from intake into act.</w:t>
      </w:r>
    </w:p>
    <w:p>
      <w:pPr>
        <w:pStyle w:val="Heading2"/>
        <w:spacing w:after="120" w:before="280"/>
      </w:pPr>
      <w:r>
        <w:t xml:space="preserve">Example C — rated C-LOW</w:t>
      </w:r>
    </w:p>
    <w:p>
      <w:pPr>
        <w:spacing w:after="140"/>
      </w:pPr>
      <w:r>
        <w:rPr>
          <w:b w:val="false"/>
          <w:bCs w:val="false"/>
          <w:i w:val="false"/>
          <w:iCs w:val="false"/>
        </w:rPr>
        <w:t xml:space="preserve">A board member is the congregation’s most reliable public volunteer: first to serve, fluent in prayer, honored at every banquet. The same record documents, across years, private contempt for the people he serves — staff quietly transferred away from him, a family that flinches when he prays at supper.</w:t>
      </w:r>
    </w:p>
    <w:p>
      <w:pPr>
        <w:spacing w:after="140"/>
      </w:pPr>
      <w:r>
        <w:rPr>
          <w:b/>
          <w:bCs/>
        </w:rPr>
        <w:t xml:space="preserve">Why C-LOW: </w:t>
      </w:r>
      <w:r>
        <w:t xml:space="preserve">the forms are maximal and the center contradicts them. Do not rate the forms (a 2 for the produced work would miss the finding); the documented contradiction is the verdict. Note what C-LOW is not: it is not for the honest struggler whose heart is disclosed — it is for the record that contradicts its own performance.</w:t>
      </w:r>
    </w:p>
    <w:p>
      <w:pPr>
        <w:pStyle w:val="Heading1"/>
        <w:spacing w:after="160" w:before="320"/>
      </w:pPr>
      <w:r>
        <w:t xml:space="preserve">5. Mechanics</w:t>
      </w:r>
    </w:p>
    <w:p>
      <w:pPr>
        <w:pStyle w:val="ListParagraph"/>
        <w:numPr>
          <w:ilvl w:val="0"/>
          <w:numId w:val="2"/>
        </w:numPr>
        <w:spacing w:after="80"/>
      </w:pPr>
      <w:r>
        <w:t xml:space="preserve">Read one portrait at a time; rate it before reading the next. First-pass judgments with a short reason are more useful than long deliberation.</w:t>
      </w:r>
    </w:p>
    <w:p>
      <w:pPr>
        <w:pStyle w:val="ListParagraph"/>
        <w:numPr>
          <w:ilvl w:val="0"/>
          <w:numId w:val="2"/>
        </w:numPr>
        <w:spacing w:after="80"/>
      </w:pPr>
      <w:r>
        <w:t xml:space="preserve">On the Rating Sheet, fill three cells per row: Verdict (1–5, C-LOW, DECLINE, or the six-word phrase for congregations), Confidence (H, M, or L), and a one-line Reason — fifteen words or fewer, naming the evidence.</w:t>
      </w:r>
    </w:p>
    <w:p>
      <w:pPr>
        <w:pStyle w:val="ListParagraph"/>
        <w:numPr>
          <w:ilvl w:val="0"/>
          <w:numId w:val="2"/>
        </w:numPr>
        <w:spacing w:after="80"/>
      </w:pPr>
      <w:r>
        <w:t xml:space="preserve">Modern-sounding portraits are constructed cases. If one rings false to your real experience — you have never met this person — write REALISM plus one line in the Reason cell. If it rings true, you may simply say so.</w:t>
      </w:r>
    </w:p>
    <w:p>
      <w:pPr>
        <w:pStyle w:val="ListParagraph"/>
        <w:numPr>
          <w:ilvl w:val="0"/>
          <w:numId w:val="2"/>
        </w:numPr>
        <w:spacing w:after="80"/>
      </w:pPr>
      <w:r>
        <w:t xml:space="preserve">At the end of the sheet: your three hardest calls, and why. This section is often the most valuable thing a rater produces.</w:t>
      </w:r>
    </w:p>
    <w:p>
      <w:pPr>
        <w:pStyle w:val="ListParagraph"/>
        <w:numPr>
          <w:ilvl w:val="0"/>
          <w:numId w:val="2"/>
        </w:numPr>
        <w:spacing w:after="80"/>
      </w:pPr>
      <w:r>
        <w:t xml:space="preserve">There is no time limit. Most raters take 90 minutes to two hours.</w:t>
      </w:r>
    </w:p>
    <w:p>
      <w:r>
        <w:br w:type="page"/>
      </w:r>
    </w:p>
    <w:p>
      <w:pPr>
        <w:pStyle w:val="Heading1"/>
        <w:spacing w:after="160" w:before="320"/>
      </w:pPr>
      <w:r>
        <w:t xml:space="preserve">6. The portraits</w:t>
      </w:r>
    </w:p>
    <w:p>
      <w:pPr>
        <w:pStyle w:val="Heading2"/>
        <w:spacing w:after="120" w:before="280"/>
      </w:pPr>
      <w:r>
        <w:t xml:space="preserve">V01 — “The night visitor”</w:t>
      </w:r>
    </w:p>
    <w:p>
      <w:pPr>
        <w:spacing w:after="140"/>
      </w:pPr>
      <w:r>
        <w:rPr>
          <w:b w:val="false"/>
          <w:bCs w:val="false"/>
          <w:i w:val="false"/>
          <w:iCs w:val="false"/>
        </w:rPr>
        <w:t xml:space="preserve">A senior religious teacher, secure in reputation and learned in the Scriptures, hears reports of an itinerant rabbi whose actions do not fit his categories. He does not denounce him, as his colleagues do; nor does he follow him. He arranges a private conversation, at night, away from the eyes of his peers. He opens with a careful concession — "we know you are a teacher come from God" — and then listens through an answer that dismantles his framework, asking twice, "How can these things be?" The record shows no decision that night. Some time later, when his council moves to condemn the rabbi unheard, he raises only a procedural objection — "does our law judge a man without first giving him a hearing?" — and is met with mockery; the record preserves no reply.</w:t>
      </w:r>
    </w:p>
    <w:p>
      <w:pPr>
        <w:pStyle w:val="Heading2"/>
        <w:spacing w:after="120" w:before="280"/>
      </w:pPr>
      <w:r>
        <w:t xml:space="preserve">V02 — “The careful keeper”</w:t>
      </w:r>
    </w:p>
    <w:p>
      <w:pPr>
        <w:spacing w:after="140"/>
      </w:pPr>
      <w:r>
        <w:rPr>
          <w:b w:val="false"/>
          <w:bCs w:val="false"/>
          <w:i w:val="false"/>
          <w:iCs w:val="false"/>
        </w:rPr>
        <w:t xml:space="preserve">A young man of considerable wealth and blameless conduct runs to a traveling teacher, kneels in the public road, and asks what he still lacks. His record is genuinely good: the commandments he has kept, he says, "from my youth" — and the teacher does not dispute it. The account notes, remarkably, that the teacher "loved him." Then comes the answer: one thing — sell what you have, give to the poor, and follow. The record preserves his exact response: "Disheartened by the saying, he went away sorrowful, for he had great possessions." He asked the true question, of the right person, on his knees, in public — and when the answer priced his treasure, he kept the treasure and carried the sorrow away with him.</w:t>
      </w:r>
    </w:p>
    <w:p>
      <w:pPr>
        <w:pStyle w:val="Heading2"/>
        <w:spacing w:after="120" w:before="280"/>
      </w:pPr>
      <w:r>
        <w:t xml:space="preserve">V03 — “The man in the tree”</w:t>
      </w:r>
    </w:p>
    <w:p>
      <w:pPr>
        <w:spacing w:after="140"/>
      </w:pPr>
      <w:r>
        <w:rPr>
          <w:b w:val="false"/>
          <w:bCs w:val="false"/>
          <w:i w:val="false"/>
          <w:iCs w:val="false"/>
        </w:rPr>
        <w:t xml:space="preserve">A chief tax collector — wealthy, despised, and short — wants to see a visiting teacher badly enough to abandon his dignity: he runs ahead of the crowd and climbs a tree. Called down by name, he receives the teacher into his house "joyfully," while the crowd grumbles that the guest has gone to be the guest of a sinner. Then, with no recorded request from anyone, he stands and prices his own repentance: "Behold, Lord, the half of my goods I give to the poor. And if I have defrauded anyone of anything, I restore it fourfold." Half his fortune, volunteered; restitution at quadruple the legal requirement, self-imposed — in his own dining room, in front of witnesses hostile to him.</w:t>
      </w:r>
    </w:p>
    <w:p>
      <w:pPr>
        <w:pStyle w:val="Heading2"/>
        <w:spacing w:after="120" w:before="280"/>
      </w:pPr>
      <w:r>
        <w:t xml:space="preserve">V04 — “The administrator”</w:t>
      </w:r>
    </w:p>
    <w:p>
      <w:pPr>
        <w:spacing w:after="140"/>
      </w:pPr>
      <w:r>
        <w:rPr>
          <w:b w:val="false"/>
          <w:bCs w:val="false"/>
          <w:i w:val="false"/>
          <w:iCs w:val="false"/>
        </w:rPr>
        <w:t xml:space="preserve">A foreign-born official rises across three regimes to the top of an empire's civil service. The record shows one architecture under everything: as a student he negotiates an exemption from the king's food rather than defile a conviction — proposing a test, accepting the risk. Decades later, as an old man, rivals seeking to destroy him audit his entire public record and find nothing — so they conclude, in the text's own words, "we shall not find any ground for complaint against this man unless we find it in connection with the law of his God." They engineer a decree criminalizing his prayer. Knowing the document was signed, he goes home and prays at his open windows, three times a day, "as he had done previously" — the phrase itself testifying to the standing habit. His convictions are not one act; they are the operating system his career, diet, calendar, and death-risk calculations all run on.</w:t>
      </w:r>
    </w:p>
    <w:p>
      <w:pPr>
        <w:pStyle w:val="Heading2"/>
        <w:spacing w:after="120" w:before="280"/>
      </w:pPr>
      <w:r>
        <w:t xml:space="preserve">V05 — “The kitchen brother”</w:t>
      </w:r>
    </w:p>
    <w:p>
      <w:pPr>
        <w:spacing w:after="140"/>
      </w:pPr>
      <w:r>
        <w:rPr>
          <w:b w:val="false"/>
          <w:bCs w:val="false"/>
          <w:i w:val="false"/>
          <w:iCs w:val="false"/>
        </w:rPr>
        <w:t xml:space="preserve">A former soldier and footman, self-described as "a great awkward fellow who broke everything," enters a monastery as a lay brother and is assigned to the kitchen — work he naturally hated — for some thirty years, later mending sandals when his legs failed. Visitors of rank seek him out, and their notes survive: they record a man for whom scrubbing pots and receiving the Sacrament had ceased to be different in kind — "the time of business does not with me differ from the time of prayer; and in the noise and clutter of my kitchen... I possess God in as great tranquility as if I were upon my knees." The composure was tested: the same records report him unruffled under sudden demands, slights, and interruptions, the peace holding in the noise, not away from it. He reports that his first ten years were dry and full of the fear that he was deceived — and that he kept the practice anyway until it became, his interviewer wrote, as natural to him as breathing.</w:t>
      </w:r>
    </w:p>
    <w:p>
      <w:pPr>
        <w:pStyle w:val="Heading2"/>
        <w:spacing w:after="120" w:before="280"/>
      </w:pPr>
      <w:r>
        <w:t xml:space="preserve">V06 — “The meticulous man”</w:t>
      </w:r>
    </w:p>
    <w:p>
      <w:pPr>
        <w:spacing w:after="140"/>
      </w:pPr>
      <w:r>
        <w:rPr>
          <w:b w:val="false"/>
          <w:bCs w:val="false"/>
          <w:i w:val="false"/>
          <w:iCs w:val="false"/>
        </w:rPr>
        <w:t xml:space="preserve">A religious professional of impeccable public observance: he tithes down to his garden herbs, fasts twice weekly, prays at length in public, maintains ceremonial washing beyond the law's requirement, and travels far to win converts. His stated positions are orthodox; his vocabulary is devout; crowds treat him as the standard of seriousness about God. The same record documents: he arranges the best seats and loves the market-place greetings and honorific titles; his lengthy public prayers coexist with the exploitation of widows' estates; his oath casuistry is engineered to make solemn-sounding commitments escapable; and the weightier matters of the very law he tithes herbs by — justice, mercy, faithfulness — are, in the text's word, neglected. The outside of the cup is clean.</w:t>
      </w:r>
    </w:p>
    <w:p>
      <w:pPr>
        <w:pStyle w:val="Heading2"/>
        <w:spacing w:after="120" w:before="280"/>
      </w:pPr>
      <w:r>
        <w:t xml:space="preserve">V07 — “The faithful son”</w:t>
      </w:r>
    </w:p>
    <w:p>
      <w:pPr>
        <w:spacing w:after="140"/>
      </w:pPr>
      <w:r>
        <w:rPr>
          <w:b w:val="false"/>
          <w:bCs w:val="false"/>
          <w:i w:val="false"/>
          <w:iCs w:val="false"/>
        </w:rPr>
        <w:t xml:space="preserve">An eldest son with a flawless service record, by his own accurate account: "these many years I have served you, and I never disobeyed your command." The household's books would confirm it — years of field work, no scandal, no absence. Then his wayward brother comes home to music, and the record shows what the service was made of: he is angry, will not go in, and prices his years — "you never gave me a young goat, that I might celebrate with my friends." He addresses his father without a title, refers to "this son of yours" rather than "my brother," and stands outside the feast while the father pleads. The obedience was real, sustained, and externally indistinguishable from devotion — and it turns out to have been accumulating wages, not sharing a heart: "all that is mine is yours" was true the whole time, and he never knew it.</w:t>
      </w:r>
    </w:p>
    <w:p>
      <w:pPr>
        <w:pStyle w:val="Heading2"/>
        <w:spacing w:after="120" w:before="280"/>
      </w:pPr>
      <w:r>
        <w:t xml:space="preserve">V08 — “The letter writer”</w:t>
      </w:r>
    </w:p>
    <w:p>
      <w:pPr>
        <w:spacing w:after="140"/>
      </w:pPr>
      <w:r>
        <w:rPr>
          <w:b w:val="false"/>
          <w:bCs w:val="false"/>
          <w:i w:val="false"/>
          <w:iCs w:val="false"/>
        </w:rPr>
        <w:t xml:space="preserve">A woman in vowed religious life experiences, in her late thirties, a season of extraordinary felt communion that accompanies a call to serve the destitute of a foreign city. Almost exactly as the work begins, the felt presence vanishes — and, apart from a few weeks' respite, never returns for roughly fifty years. Her private letters, published after her death against her wishes, document the darkness continuously: feeling unwanted, unloved, "the silence and the emptiness." The same half-century's record documents: daily worship before dawn, never abandoned; the work expanding from one house to hundreds of foundations serving the poorest people on earth; vows kept; and the doubts themselves written as prayers, addressed to the One she could not feel — the correspondence of a person who never stopped speaking to Him. A wise adviser eventually re-read her thirst as the very sign of the Presence she mourned; she wrote afterward that she had "come to love the darkness." The feelings never returned. The fidelity never broke.</w:t>
      </w:r>
    </w:p>
    <w:p>
      <w:pPr>
        <w:pStyle w:val="Heading2"/>
        <w:spacing w:after="120" w:before="280"/>
      </w:pPr>
      <w:r>
        <w:t xml:space="preserve">V09 — “The examiners”</w:t>
      </w:r>
    </w:p>
    <w:p>
      <w:pPr>
        <w:spacing w:after="140"/>
      </w:pPr>
      <w:r>
        <w:rPr>
          <w:b w:val="false"/>
          <w:bCs w:val="false"/>
          <w:i w:val="false"/>
          <w:iCs w:val="false"/>
        </w:rPr>
        <w:t xml:space="preserve">A synagogue community in a Greek town receives two traveling teachers whose message had started riots in the previous city. The record singles them out for one trait: they "received the word with all eagerness, examining the Scriptures daily to see if these things were so." Not credulity — the eagerness and the examination run together; they neither dismiss the claim unheard, as the previous city largely had, nor swallow it unweighed. Daily, for a sustained period, they do the work of checking the message against the text they already trust. The record notes the outcome — many believed — but what it praises is the posture that came first.</w:t>
      </w:r>
    </w:p>
    <w:p>
      <w:pPr>
        <w:pStyle w:val="Heading2"/>
        <w:spacing w:after="120" w:before="280"/>
      </w:pPr>
      <w:r>
        <w:t xml:space="preserve">V10 — “The road decision”</w:t>
      </w:r>
    </w:p>
    <w:p>
      <w:pPr>
        <w:spacing w:after="140"/>
      </w:pPr>
      <w:r>
        <w:rPr>
          <w:b w:val="false"/>
          <w:bCs w:val="false"/>
          <w:i w:val="false"/>
          <w:iCs w:val="false"/>
        </w:rPr>
        <w:t xml:space="preserve">A young foreign widow stands on a road between her dead husband's country and her own. Her mother-in-law — destitute, older, with nothing to offer — releases her three times, and the other daughter-in-law takes the release and goes home, weeping but sensible. Every visible interest points back: family, remarriage prospects, her own people, her own gods. She refuses: "Where you go I will go, and where you lodge I will lodge. Your people shall be my people, and your God my God." Then she binds it with an oath on pain of death — "may the LORD do so to me and more also if anything but death parts me from you" — and walks into a foreign land as a gleaner in strangers' fields.</w:t>
      </w:r>
    </w:p>
    <w:p>
      <w:pPr>
        <w:pStyle w:val="Heading2"/>
        <w:spacing w:after="120" w:before="280"/>
      </w:pPr>
      <w:r>
        <w:t xml:space="preserve">V11 — “The encourager”</w:t>
      </w:r>
    </w:p>
    <w:p>
      <w:pPr>
        <w:spacing w:after="140"/>
      </w:pPr>
      <w:r>
        <w:rPr>
          <w:b w:val="false"/>
          <w:bCs w:val="false"/>
          <w:i w:val="false"/>
          <w:iCs w:val="false"/>
        </w:rPr>
        <w:t xml:space="preserve">A landowner from an island family sells a field and lays the whole price at the movement's feet — early, publicly, when others are doing the same. What distinguishes him is the next thirty years. When the movement's most feared ex-persecutor converts and no one will meet him, this man vouches for him and opens the doors. Sent to inspect an irregular new congregation of outsiders, he looks, is glad, and stays to build rather than correct. He recruits the ex-persecutor into the work, accepts becoming the junior partner as the younger man eclipses him, and — at real cost — breaks with him rather than discard a young assistant who had once failed them. The record's summary: "he was a good man, full of the Holy Spirit and of faith." His nickname, given not chosen, is simply "son of encouragement."</w:t>
      </w:r>
    </w:p>
    <w:p>
      <w:pPr>
        <w:pStyle w:val="Heading2"/>
        <w:spacing w:after="120" w:before="280"/>
      </w:pPr>
      <w:r>
        <w:t xml:space="preserve">V12 — “The fisherman, before and after”</w:t>
      </w:r>
    </w:p>
    <w:p>
      <w:pPr>
        <w:spacing w:after="140"/>
      </w:pPr>
      <w:r>
        <w:rPr>
          <w:b w:val="false"/>
          <w:bCs w:val="false"/>
          <w:i w:val="false"/>
          <w:iCs w:val="false"/>
        </w:rPr>
        <w:t xml:space="preserve">Panel one. The movement's most vocal member swears loyalty at dinner — "though they all fall away, I will not" — and draws a sword that night to prove it. Hours later, in a courtyard, challenged three times by servants while the trial proceeds indoors, he denies three times knowing the man at all, the last time with an oath. A rooster crows; he goes out and weeps bitterly.</w:t>
      </w:r>
    </w:p>
    <w:p>
      <w:pPr>
        <w:spacing w:after="140"/>
      </w:pPr>
      <w:r>
        <w:rPr>
          <w:b w:val="false"/>
          <w:bCs w:val="false"/>
          <w:i w:val="false"/>
          <w:iCs w:val="false"/>
        </w:rPr>
        <w:t xml:space="preserve">Panel two. Some weeks later, the same man stands in the same city before the same court that ran the trial and tells them to their faces: "there is salvation in no one else." The record notes the court's astonishment at the boldness of "uneducated, common men." Ordered to stop speaking, he answers, "we cannot but speak of what we have seen and heard." Flogged for it, he leaves "rejoicing that they were counted worthy to suffer dishonor for the name" — and the pattern holds through arrests, prisons, and, by every early account, to his death.</w:t>
      </w:r>
    </w:p>
    <w:p>
      <w:pPr>
        <w:pStyle w:val="Heading2"/>
        <w:spacing w:after="120" w:before="280"/>
      </w:pPr>
      <w:r>
        <w:t xml:space="preserve">V13 — “The night visitor, the whole road”</w:t>
      </w:r>
    </w:p>
    <w:p>
      <w:pPr>
        <w:spacing w:after="140"/>
      </w:pPr>
      <w:r>
        <w:rPr>
          <w:b w:val="false"/>
          <w:bCs w:val="false"/>
          <w:i w:val="false"/>
          <w:iCs w:val="false"/>
        </w:rPr>
        <w:t xml:space="preserve">The senior teacher of P1 — the one who came by night, asked questions, and later raised only a procedural objection — appears once more in the record, at the worst possible moment: after the execution, when the movement is scattered, its leader publicly dead, association with him now maximally useless and maximally dangerous. He comes in daylight, with another formerly secret sympathizer, carrying seventy-five pounds of embalming spices — a quantity fit for a king's burial — and handles the body himself, days before the feast he had spent his life keeping. No resurrection has happened yet, as far as he knows. He is honoring a dead man at cost, in public, with nothing to gain.</w:t>
      </w:r>
    </w:p>
    <w:p>
      <w:pPr>
        <w:pStyle w:val="Heading2"/>
        <w:spacing w:after="120" w:before="280"/>
      </w:pPr>
      <w:r>
        <w:t xml:space="preserve">V14 — “The missionary who feared the sea”</w:t>
      </w:r>
    </w:p>
    <w:p>
      <w:pPr>
        <w:spacing w:after="140"/>
      </w:pPr>
      <w:r>
        <w:rPr>
          <w:b w:val="false"/>
          <w:bCs w:val="false"/>
          <w:i w:val="false"/>
          <w:iCs w:val="false"/>
        </w:rPr>
        <w:t xml:space="preserve">Panel one. A young clergyman of formidable discipline — up at four, methodical in devotion, a missionary volunteer — sails to a foreign colony to convert its native peoples. In storms at sea he is terrified of dying, and notices that a company of foreign believers aboard sing calmly through the worst of it, their women and children unafraid. His mission fails on nearly every count; he leaves under legal cloud, writing in his journal: "I went to America to convert the Indians; but oh, who shall convert me?" The discipline is real, unbroken, and — by his own testimony — hollow at the center: religion as anxious performance, assurance absent.</w:t>
      </w:r>
    </w:p>
    <w:p>
      <w:pPr>
        <w:spacing w:after="140"/>
      </w:pPr>
      <w:r>
        <w:rPr>
          <w:b w:val="false"/>
          <w:bCs w:val="false"/>
          <w:i w:val="false"/>
          <w:iCs w:val="false"/>
        </w:rPr>
        <w:t xml:space="preserve">Panel two. Months later, at a meeting he attended unwillingly, listening to a reading, he records: "I felt my heart strangely warmed. I felt I did trust in Christ, Christ alone, for salvation; and an assurance was given me that he had taken away my sins." What follows, over the next five decades: a quarter-million miles on horseback, tens of thousands of sermons, societies organized across two continents — the same methodical discipline as before, now running on a different fuel, sustained to age eighty-seven.</w:t>
      </w:r>
    </w:p>
    <w:p>
      <w:pPr>
        <w:pStyle w:val="Heading2"/>
        <w:spacing w:after="120" w:before="280"/>
      </w:pPr>
      <w:r>
        <w:t xml:space="preserve">V15 — “The divided nun, and after”</w:t>
      </w:r>
    </w:p>
    <w:p>
      <w:pPr>
        <w:spacing w:after="140"/>
      </w:pPr>
      <w:r>
        <w:rPr>
          <w:b w:val="false"/>
          <w:bCs w:val="false"/>
          <w:i w:val="false"/>
          <w:iCs w:val="false"/>
        </w:rPr>
        <w:t xml:space="preserve">Panel one. A woman in vowed religious life spends nearly two decades, by her own published account, unable to give herself fully to either of her two worlds: drawn to the parlor and its conversations, drawn to prayer, at home in neither; abandoning her prayer practice for long stretches on the humble-sounding reasoning that she was unworthy of it; resuming; relapsing. "I spent nearly twenty years on that stormy sea," she writes, "falling and rising again." The observances continue throughout; the heart is split and she says so.</w:t>
      </w:r>
    </w:p>
    <w:p>
      <w:pPr>
        <w:spacing w:after="140"/>
      </w:pPr>
      <w:r>
        <w:rPr>
          <w:b w:val="false"/>
          <w:bCs w:val="false"/>
          <w:i w:val="false"/>
          <w:iCs w:val="false"/>
        </w:rPr>
        <w:t xml:space="preserve">Panel two. In her late thirties, halted before an image of the wounded Christ, something breaks; she asks, by her own account, not to rise until the division ends. The remaining three decades: a reform movement founded against fierce institutional opposition, seventeen houses established on foot and by mule across a rough country, major works of teaching written in stolen hours — and a documented interior life whose consolations she treats, in her own counsel to others, as gifts to be held loosely, never credentials.</w:t>
      </w:r>
    </w:p>
    <w:p>
      <w:pPr>
        <w:pStyle w:val="Heading2"/>
        <w:spacing w:after="120" w:before="280"/>
      </w:pPr>
      <w:r>
        <w:t xml:space="preserve">V16 — “The courtier's secret”</w:t>
      </w:r>
    </w:p>
    <w:p>
      <w:pPr>
        <w:spacing w:after="140"/>
      </w:pPr>
      <w:r>
        <w:rPr>
          <w:b w:val="false"/>
          <w:bCs w:val="false"/>
          <w:i w:val="false"/>
          <w:iCs w:val="false"/>
        </w:rPr>
        <w:t xml:space="preserve">The palace administrator of a notoriously wicked royal house — a king whose wife is actively exterminating the prophets of the LORD — has, the record says plainly, "feared the LORD greatly from his youth." His fear has a paper trail: at mortal risk, inside the court itself, he has hidden a hundred proscribed prophets in two caves and provisioned them with bread and water through a famine, while keeping his position and his access. When a fugitive prophet meets him and gives him a dangerous errand, he protests — vividly, at length, listing what it will cost him if it goes wrong — and then does it.</w:t>
      </w:r>
    </w:p>
    <w:p>
      <w:pPr>
        <w:pStyle w:val="Heading2"/>
        <w:spacing w:after="120" w:before="280"/>
      </w:pPr>
      <w:r>
        <w:t xml:space="preserve">V17 — “The busy sister”</w:t>
      </w:r>
    </w:p>
    <w:p>
      <w:pPr>
        <w:spacing w:after="140"/>
      </w:pPr>
      <w:r>
        <w:rPr>
          <w:b w:val="false"/>
          <w:bCs w:val="false"/>
          <w:i w:val="false"/>
          <w:iCs w:val="false"/>
        </w:rPr>
        <w:t xml:space="preserve">A woman opens her home to the teacher and his whole company — real hospitality, real labor — and is soon "distracted with much serving," anxious and troubled, resentful enough to interrupt the gathering and tell the teacher to correct her sister, who sits listening. He declines, gently, and names her anxiety. That is the scene everyone remembers. The record's second scene is less quoted: when her brother dies and the teacher arrives four days late, it is this sister who goes out to meet him, argues with him honestly — "if you had been here…" — and then, pressed with the largest question he ever asks anyone, answers with the fullest confession in the book to that point: "Yes, Lord; I believe that you are the Christ, the Son of God, who is coming into the world."</w:t>
      </w:r>
    </w:p>
    <w:p>
      <w:pPr>
        <w:pStyle w:val="Heading2"/>
        <w:spacing w:after="120" w:before="280"/>
      </w:pPr>
      <w:r>
        <w:t xml:space="preserve">V18 — “The rocky-ground composite”</w:t>
      </w:r>
    </w:p>
    <w:p>
      <w:pPr>
        <w:spacing w:after="140"/>
      </w:pPr>
      <w:r>
        <w:rPr>
          <w:b w:val="false"/>
          <w:bCs w:val="false"/>
          <w:i w:val="false"/>
          <w:iCs w:val="false"/>
        </w:rPr>
        <w:t xml:space="preserve">A hearer receives the message "immediately... with joy." His early record is enviable: quick uptake, visible enthusiasm, prompt participation — for a while the most encouraging member of the cohort. Then affiliation gets expensive — trouble, social cost, "tribulation or persecution... on account of the word" — and he is gone, as promptly as he came. The teller of this story diagnoses the mechanism precisely: "he has no root in himself, but endures for a while."</w:t>
      </w:r>
    </w:p>
    <w:p>
      <w:pPr>
        <w:pStyle w:val="Heading2"/>
        <w:spacing w:after="120" w:before="280"/>
      </w:pPr>
      <w:r>
        <w:t xml:space="preserve">V19 — “The fellow worker”</w:t>
      </w:r>
    </w:p>
    <w:p>
      <w:pPr>
        <w:spacing w:after="140"/>
      </w:pPr>
      <w:r>
        <w:rPr>
          <w:b w:val="false"/>
          <w:bCs w:val="false"/>
          <w:i w:val="false"/>
          <w:iCs w:val="false"/>
        </w:rPr>
        <w:t xml:space="preserve">For years this man appears in the record only in honorable company: named in the greetings of two letters from prison, alongside the physician-historian, as "my fellow worker." Whatever the daily record of those years was — travel, risk, service in a prisoner's circle — it earned that title from a man not free with titles. The final mention, a few years later, is one sentence: "Demas, in love with this present world, has deserted me and gone to Thessalonica."</w:t>
      </w:r>
    </w:p>
    <w:p>
      <w:pPr>
        <w:pStyle w:val="Heading2"/>
        <w:spacing w:after="120" w:before="280"/>
      </w:pPr>
      <w:r>
        <w:t xml:space="preserve">V20 — “The man with three hours”</w:t>
      </w:r>
    </w:p>
    <w:p>
      <w:pPr>
        <w:spacing w:after="140"/>
      </w:pPr>
      <w:r>
        <w:rPr>
          <w:b w:val="false"/>
          <w:bCs w:val="false"/>
          <w:i w:val="false"/>
          <w:iCs w:val="false"/>
        </w:rPr>
        <w:t xml:space="preserve">A convicted criminal, dying under state execution beside the teacher, with — as far as any record shows — no prior practice, no instruction, no community, no amended life, and no future in which to produce one. His entire documented spiritual history is two sentences long: he rebukes his fellow convict's mockery ("Do you not fear God... we are receiving the due reward of our deeds; but this man has done nothing wrong"), and he asks, "Jesus, remember me when you come into your kingdom." He receives, in reply, the most unqualified assurance in the record: "Today you will be with me in paradise."</w:t>
      </w:r>
    </w:p>
    <w:p>
      <w:pPr>
        <w:pStyle w:val="Heading2"/>
        <w:spacing w:after="120" w:before="280"/>
      </w:pPr>
      <w:r>
        <w:t xml:space="preserve">V21 — “The sound church”</w:t>
      </w:r>
    </w:p>
    <w:p>
      <w:pPr>
        <w:spacing w:after="140"/>
      </w:pPr>
      <w:r>
        <w:rPr>
          <w:b w:val="false"/>
          <w:bCs w:val="false"/>
          <w:i w:val="false"/>
          <w:iCs w:val="false"/>
        </w:rPr>
        <w:t xml:space="preserve">A congregation with an audit any denomination would envy: hard work, documented endurance under pressure, doctrinal vigilance sharp enough to detect and expel false teachers, intolerance of evil, decades of persistence without quitting. Its Examiner grants every item — "I know your works, your toil and your patient endurance..." — and then files the one finding that outweighs the audit: "But I have this against you, that you have abandoned the love you had at first." The prescribed remedy is not a program: remember, repent, do the first works. The stated stake is the lampstand itself.</w:t>
      </w:r>
    </w:p>
    <w:p>
      <w:pPr>
        <w:pStyle w:val="Heading2"/>
        <w:spacing w:after="120" w:before="280"/>
      </w:pPr>
      <w:r>
        <w:t xml:space="preserve">V22 — “The poor church”</w:t>
      </w:r>
    </w:p>
    <w:p>
      <w:pPr>
        <w:spacing w:after="140"/>
      </w:pPr>
      <w:r>
        <w:rPr>
          <w:b w:val="false"/>
          <w:bCs w:val="false"/>
          <w:i w:val="false"/>
          <w:iCs w:val="false"/>
        </w:rPr>
        <w:t xml:space="preserve">A congregation with nothing on the dashboard: materially poor, socially slandered, under pressure from a hostile establishment, facing imprisonment for some of its members and worse beyond that. No growth numbers, no influence, no prospects — by every prosperity-shaped vitality metric ever devised, a failing church. Its Examiner's audit is one clause long and runs the opposite direction: "I know your tribulation and your poverty (but you are rich)." It is one of only two congregations on its Examiner's list to receive no correction at all.</w:t>
      </w:r>
    </w:p>
    <w:p>
      <w:pPr>
        <w:pStyle w:val="Heading2"/>
        <w:spacing w:after="120" w:before="280"/>
      </w:pPr>
      <w:r>
        <w:t xml:space="preserve">V24 — “The dealer in purple”</w:t>
      </w:r>
    </w:p>
    <w:p>
      <w:pPr>
        <w:spacing w:after="140"/>
      </w:pPr>
      <w:r>
        <w:rPr>
          <w:b w:val="false"/>
          <w:bCs w:val="false"/>
          <w:i w:val="false"/>
          <w:iCs w:val="false"/>
        </w:rPr>
        <w:t xml:space="preserve">A businesswoman in a Roman colony — a dealer in purple goods, head of her own household — is at a riverside prayer gathering when traveling teachers arrive. The record says the Lord "opened her heart to pay attention to what was said," and her response arrives with the decisiveness of a woman used to closing agreements: she is baptized, her household with her, and she makes the teachers an offer shaped like a test — "If you have judged me to be faithful to the Lord, come to my house and stay" — and, the record adds, "she prevailed upon us." When the teachers are later released from prison, beaten and officially unwelcome in the city, it is to her house they go.</w:t>
      </w:r>
    </w:p>
    <w:p>
      <w:pPr>
        <w:pStyle w:val="Heading2"/>
        <w:spacing w:after="120" w:before="280"/>
      </w:pPr>
      <w:r>
        <w:t xml:space="preserve">V25 — “The reluctant prophet”</w:t>
      </w:r>
    </w:p>
    <w:p>
      <w:pPr>
        <w:spacing w:after="140"/>
      </w:pPr>
      <w:r>
        <w:rPr>
          <w:b w:val="false"/>
          <w:bCs w:val="false"/>
          <w:i w:val="false"/>
          <w:iCs w:val="false"/>
        </w:rPr>
        <w:t xml:space="preserve">A prophet receives a clear assignment and books passage in the opposite direction. Retrieved by storm and fish, he obeys the second command — walks the enormous city, preaches the eight-word warning — and the mission succeeds beyond any prophet's dreams: the whole city repents, king to cattle. The record then shows the preacher's interior: the city's repentance "displeased Jonah exceedingly, and he was angry" — angry enough to ask for death, twice, and to sit outside the city hoping to watch it burn. The book ends with God's unanswered question to him about pity. His theology is impeccable throughout — he can recite the creed of divine mercy verbatim; it is precisely the mercy he resents.</w:t>
      </w:r>
    </w:p>
    <w:p>
      <w:pPr>
        <w:pStyle w:val="Heading2"/>
        <w:spacing w:after="120" w:before="280"/>
      </w:pPr>
      <w:r>
        <w:t xml:space="preserve">V26 — “The king with a chaplain”</w:t>
      </w:r>
    </w:p>
    <w:p>
      <w:pPr>
        <w:spacing w:after="140"/>
      </w:pPr>
      <w:r>
        <w:rPr>
          <w:b w:val="false"/>
          <w:bCs w:val="false"/>
          <w:i w:val="false"/>
          <w:iCs w:val="false"/>
        </w:rPr>
        <w:t xml:space="preserve">A boy king, rescued from a massacre and raised by the high priest who crowned him, reigns admirably for decades: he repairs the temple with genuine initiative — the chest at the gate is his idea — and the record summarizes: he "did what was right in the eyes of the LORD all the days of Jehoiada the priest." That qualifying clause is the portrait. When the old priest dies, the king's course reverses almost immediately: new advisers, the temple abandoned, idols in, and when his mentor's son confronts him with the word of the LORD, the king has him stoned in the temple court — repaying, the record notes bitterly, none of the father's kindness.</w:t>
      </w:r>
    </w:p>
    <w:p>
      <w:pPr>
        <w:pStyle w:val="Heading2"/>
        <w:spacing w:after="120" w:before="280"/>
      </w:pPr>
      <w:r>
        <w:t xml:space="preserve">V27 — “The convert of the campaign”</w:t>
      </w:r>
    </w:p>
    <w:p>
      <w:pPr>
        <w:spacing w:after="140"/>
      </w:pPr>
      <w:r>
        <w:rPr>
          <w:b w:val="false"/>
          <w:bCs w:val="false"/>
          <w:i w:val="false"/>
          <w:iCs w:val="false"/>
        </w:rPr>
        <w:t xml:space="preserve">A young farmhand attends the great meetings the year the revival sweeps his county — the era's most famous evangelist preaching nightly. His conversion is dramatic and sincere: public, tearful, celebrated; for a season he is the movement's best evidence, first at the class meeting, vocal in prayer. There is no scandal in his record and no crisis; there is simply, across the following two years, less and less — the class meeting first monthly then never, the Bible unopened, the vocabulary retained but unused. Interviewed years later he speaks of the revival warmly, as one speaks of a fire in another man's hearth. The evangelist himself, near the end of his life, confessed of his converts generally that they were "of much shorter duration" than he had hoped, and that fewer became "stable and efficient Christians" than the numbers had promised.</w:t>
      </w:r>
    </w:p>
    <w:p>
      <w:pPr>
        <w:pStyle w:val="Heading2"/>
        <w:spacing w:after="120" w:before="280"/>
      </w:pPr>
      <w:r>
        <w:t xml:space="preserve">V28 — “The subscriber”</w:t>
      </w:r>
    </w:p>
    <w:p>
      <w:pPr>
        <w:spacing w:after="140"/>
      </w:pPr>
      <w:r>
        <w:rPr>
          <w:b w:val="false"/>
          <w:bCs w:val="false"/>
          <w:i w:val="false"/>
          <w:iCs w:val="false"/>
        </w:rPr>
        <w:t xml:space="preserve">He has heard more sermons than his pastor. Podcasts on the commute, a shelf of serious books actually read, notes in the margins, intelligent questions at the men's breakfast — attendance faithful for six years. He can compare three views on any passage you name. What the record does not contain, in six years: a practice begun, a confession risked, a decision changed. His wife, asked gently what he prays about, considers the question and says she honestly doesn't know that he does. He would say — sincerely — that he is "still working out what he believes," and he is; the working-out is real, and it is the whole of it.</w:t>
      </w:r>
    </w:p>
    <w:p>
      <w:pPr>
        <w:pStyle w:val="Heading2"/>
        <w:spacing w:after="120" w:before="280"/>
      </w:pPr>
      <w:r>
        <w:t xml:space="preserve">V29 — “The reliable one”</w:t>
      </w:r>
    </w:p>
    <w:p>
      <w:pPr>
        <w:spacing w:after="140"/>
      </w:pPr>
      <w:r>
        <w:rPr>
          <w:b w:val="false"/>
          <w:bCs w:val="false"/>
          <w:i w:val="false"/>
          <w:iCs w:val="false"/>
        </w:rPr>
        <w:t xml:space="preserve">Whatever the church needs done, she does: nursery rota, meal trains, setup crew, the spreadsheet nobody else will own. Fifteen years, utterly dependable. When the small group runs, she attends and does the homework; when it breaks for summer, her Bible closes until fall — she would tell you this herself, a little sheepishly. Her prayers in company are warm and real; alone, she mostly doesn't, "because it feels like talking to the ceiling." Asked what God has said to her lately, she answers — kindly, without irony — that she leaves that sort of thing to the pastor.</w:t>
      </w:r>
    </w:p>
    <w:p>
      <w:pPr>
        <w:pStyle w:val="Heading2"/>
        <w:spacing w:after="120" w:before="280"/>
      </w:pPr>
      <w:r>
        <w:t xml:space="preserve">V30 — “The Monday decision”</w:t>
      </w:r>
    </w:p>
    <w:p>
      <w:pPr>
        <w:spacing w:after="140"/>
      </w:pPr>
      <w:r>
        <w:rPr>
          <w:b w:val="false"/>
          <w:bCs w:val="false"/>
          <w:i w:val="false"/>
          <w:iCs w:val="false"/>
        </w:rPr>
        <w:t xml:space="preserve">Nobody asked him to turn down the promotion. The new role meant most Sundays traveling and a schedule that would have ended the Tuesday group he'd been part of for four years — so he declined it, took the career ceiling that came with declining, and told only his wife why. The same pattern shows up smaller elsewhere: the standing apology to a colleague he'd wronged (delivered before anyone knew), the tithe held through a lean year, grace said quietly over lunch in front of clients. His practices persist when no group meets. His calendar, though, still lives in two kingdoms — work is work, faith is evenings — and he'd be the first to say the two haven't fully met.</w:t>
      </w:r>
    </w:p>
    <w:p>
      <w:pPr>
        <w:pStyle w:val="Heading2"/>
        <w:spacing w:after="120" w:before="280"/>
      </w:pPr>
      <w:r>
        <w:t xml:space="preserve">V31 — “The household”</w:t>
      </w:r>
    </w:p>
    <w:p>
      <w:pPr>
        <w:spacing w:after="140"/>
      </w:pPr>
      <w:r>
        <w:rPr>
          <w:b w:val="false"/>
          <w:bCs w:val="false"/>
          <w:i w:val="false"/>
          <w:iCs w:val="false"/>
        </w:rPr>
        <w:t xml:space="preserve">Fifteen years of their family calendar tells one story: the Thursday table that is never not open, the two foster placements that reshaped three years, the job he declined because it moved them away from the church community they'd covenanted into, the budget line for hospitality that outranks the vacation fund, the kids' bedtime liturgy that has survived four house moves. None of it is dramatic and none of it is negotiable — though it has cost them: one season of real strain over the second foster placement, argued through and survived, is part of the record too. When the couple is asked to explain a decision, they reach — unselfconsciously, as if it were obvious — for the same few scriptures each time. Their friends plan around their pattern the way you plan around a mountain: it will be there.</w:t>
      </w:r>
    </w:p>
    <w:p>
      <w:pPr>
        <w:pStyle w:val="Heading2"/>
        <w:spacing w:after="120" w:before="280"/>
      </w:pPr>
      <w:r>
        <w:t xml:space="preserve">V32 — “The grandmother”</w:t>
      </w:r>
    </w:p>
    <w:p>
      <w:pPr>
        <w:spacing w:after="140"/>
      </w:pPr>
      <w:r>
        <w:rPr>
          <w:b w:val="false"/>
          <w:bCs w:val="false"/>
          <w:i w:val="false"/>
          <w:iCs w:val="false"/>
        </w:rPr>
        <w:t xml:space="preserve">The neighbors have a phrase for her — "she's the same in every weather" — and they have data: forty years on the street, three of them as a widow, one of them the year her son died. The consistency is the testimony: the same unhurried presence at the kitchen table whether the visitor is the pastor or the paroled nephew; the same prayer offered over casseroles and chemotherapy; the same refusal, gentle and total, to carry a grudge across a night. She holds her convictions quietly — anyone who has asked knows what she thinks, and no one has ever heard her contend for it. At the funeral-home visitation for her son, more than one mourner realized they had come to comfort her and left comforted. Asked once, late in life, for her secret, she seemed genuinely puzzled by the question — and that puzzlement, say the ones who know her, is the most convincing part.</w:t>
      </w:r>
    </w:p>
    <w:p>
      <w:pPr>
        <w:pStyle w:val="Heading2"/>
        <w:spacing w:after="120" w:before="280"/>
      </w:pPr>
      <w:r>
        <w:t xml:space="preserve">V33 — “The one still arguing”</w:t>
      </w:r>
    </w:p>
    <w:p>
      <w:pPr>
        <w:spacing w:after="140"/>
      </w:pPr>
      <w:r>
        <w:rPr>
          <w:b w:val="false"/>
          <w:bCs w:val="false"/>
          <w:i w:val="false"/>
          <w:iCs w:val="false"/>
        </w:rPr>
        <w:t xml:space="preserve">Two years ago something broke her confidence — a church hurt and a hard book in the same season — and she has been, in her own word, "deconstructing" since. Here is her record across those two years: she has read the hostile authors and the faithful ones; she still comes, sitting nearer the back; she quit the worship team but not the soup kitchen; and she still prays — angrily, sometimes only the psalm that ends in darkness, but addressed, every time. "I'm furious at Him," she told her old group leader, "which I've noticed is not the same as thinking He isn't there." She has refused two invitations to simply walk away, one from a deconversion podcast and one from her own tiredness.</w:t>
      </w:r>
    </w:p>
    <w:p>
      <w:pPr>
        <w:pStyle w:val="Heading2"/>
        <w:spacing w:after="120" w:before="280"/>
      </w:pPr>
      <w:r>
        <w:t xml:space="preserve">V34 — “The preacher under the cloud”</w:t>
      </w:r>
    </w:p>
    <w:p>
      <w:pPr>
        <w:spacing w:after="140"/>
      </w:pPr>
      <w:r>
        <w:rPr>
          <w:b w:val="false"/>
          <w:bCs w:val="false"/>
          <w:i w:val="false"/>
          <w:iCs w:val="false"/>
        </w:rPr>
        <w:t xml:space="preserve">The most famous preacher of his century is also, by his own unembarrassed testimony, a man repeatedly crushed by darkness — seasons when, as he told his students, he could weep by the hour and not know why. The record around the darkness: roughly forty years in one pulpit; thousands of sermons prepared through the worst seasons; an orphanage and a pastors' college founded and personally sustained; a costly doctrinal stand late in life that lost him friends and denominational standing and did not move him; and a sentence he left about the cloud itself — "This depression comes over me whenever the Lord is preparing a larger blessing for my ministry; the cloud is black before it breaks." He neither hid the darkness nor obeyed it.</w:t>
      </w:r>
    </w:p>
    <w:p>
      <w:pPr>
        <w:pStyle w:val="Heading2"/>
        <w:spacing w:after="120" w:before="280"/>
      </w:pPr>
      <w:r>
        <w:t xml:space="preserve">V35 — “The church with the reputation”</w:t>
      </w:r>
    </w:p>
    <w:p>
      <w:pPr>
        <w:spacing w:after="140"/>
      </w:pPr>
      <w:r>
        <w:rPr>
          <w:b w:val="false"/>
          <w:bCs w:val="false"/>
          <w:i w:val="false"/>
          <w:iCs w:val="false"/>
        </w:rPr>
        <w:t xml:space="preserve">A congregation everyone speaks well of: its name means vitality in the region, its history is distinguished, its programs continue, its reputation — the Examiner's own word — is "of being alive." The audit beneath the reputation is one clause: "and you are dead." No persecution is reported, no heresy named, no scandal; the letter identifies no attacker at all. Whatever killed this church did it quietly, with the lights on and the doors open. The prescription is triage verbatim: "Wake up, and strengthen what remains and is about to die... remember, then, what you received and heard." A remnant is noted — "a few names... who have not soiled their garments" — invisible, presumably, to the reputation.</w:t>
      </w:r>
    </w:p>
    <w:p>
      <w:pPr>
        <w:pStyle w:val="Heading2"/>
        <w:spacing w:after="120" w:before="280"/>
      </w:pPr>
      <w:r>
        <w:t xml:space="preserve">V36 — “The church that filled out its own survey”</w:t>
      </w:r>
    </w:p>
    <w:p>
      <w:pPr>
        <w:spacing w:after="140"/>
      </w:pPr>
      <w:r>
        <w:rPr>
          <w:b w:val="false"/>
          <w:bCs w:val="false"/>
          <w:i w:val="false"/>
          <w:iCs w:val="false"/>
        </w:rPr>
        <w:t xml:space="preserve">A congregation in a wealthy banking city conducts, in effect, its own self-assessment, and the letter quotes the results verbatim: "You say, I am rich, I have prospered, and I need nothing." The Examiner's audit of the same church: "not realizing that you are wretched, pitiable, poor, blind, and naked." It is the only letter with no commendation at all — and also the letter containing the tenderest sentences in the set: "Those whom I love, I reprove and discipline," and the knock at the door with supper on the other side. The gap between the self-report and the audit is the entire diagnosis; nothing else is wrong with Laodicea that is not downstream of not knowing.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2026-07-16T15:31:57.830Z</dcterms:created>
  <dcterms:modified xsi:type="dcterms:W3CDTF">2026-07-16T15:31:57.831Z</dcterms:modified>
</cp:coreProperties>
</file>

<file path=docProps/custom.xml><?xml version="1.0" encoding="utf-8"?>
<Properties xmlns="http://schemas.openxmlformats.org/officeDocument/2006/custom-properties" xmlns:vt="http://schemas.openxmlformats.org/officeDocument/2006/docPropsVTypes"/>
</file>