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sz w:val="36"/>
          <w:szCs w:val="36"/>
        </w:rPr>
        <w:t xml:space="preserve">Intentional Journey of the Heart</w:t>
      </w:r>
    </w:p>
    <w:p>
      <w:pPr>
        <w:spacing w:after="240"/>
        <w:jc w:val="center"/>
      </w:pPr>
      <w:r>
        <w:rPr>
          <w:rFonts w:ascii="Arial" w:cs="Arial" w:eastAsia="Arial" w:hAnsi="Arial"/>
          <w:b/>
          <w:bCs/>
          <w:sz w:val="32"/>
          <w:szCs w:val="32"/>
        </w:rPr>
        <w:t xml:space="preserve">Volume 5: The Spiritual Periodic Table</w:t>
      </w:r>
    </w:p>
    <w:p>
      <w:pPr>
        <w:spacing w:after="480"/>
        <w:jc w:val="center"/>
      </w:pPr>
      <w:r>
        <w:rPr>
          <w:rFonts w:ascii="Arial" w:cs="Arial" w:eastAsia="Arial" w:hAnsi="Arial"/>
          <w:i/>
          <w:iCs/>
          <w:sz w:val="26"/>
          <w:szCs w:val="26"/>
        </w:rPr>
        <w:t xml:space="preserve">v5_6_0_13 Implementation Bundle</w:t>
      </w:r>
    </w:p>
    <w:p>
      <w:pPr>
        <w:spacing w:after="80"/>
        <w:jc w:val="center"/>
      </w:pPr>
      <w:r>
        <w:rPr>
          <w:rFonts w:ascii="Arial" w:cs="Arial" w:eastAsia="Arial" w:hAnsi="Arial"/>
          <w:sz w:val="22"/>
          <w:szCs w:val="22"/>
        </w:rPr>
        <w:t xml:space="preserve">The Dyadic Pair-Bond Architecture Admission</w:t>
      </w:r>
    </w:p>
    <w:p>
      <w:pPr>
        <w:spacing w:after="80"/>
        <w:jc w:val="center"/>
      </w:pPr>
      <w:r>
        <w:rPr>
          <w:rFonts w:ascii="Arial" w:cs="Arial" w:eastAsia="Arial" w:hAnsi="Arial"/>
          <w:sz w:val="22"/>
          <w:szCs w:val="22"/>
        </w:rPr>
        <w:t xml:space="preserve">FL.XXXIV Marriage Covenant Architecture Law</w:t>
      </w:r>
    </w:p>
    <w:p>
      <w:pPr>
        <w:spacing w:after="80"/>
        <w:jc w:val="center"/>
      </w:pPr>
      <w:r>
        <w:rPr>
          <w:rFonts w:ascii="Arial" w:cs="Arial" w:eastAsia="Arial" w:hAnsi="Arial"/>
          <w:sz w:val="22"/>
          <w:szCs w:val="22"/>
        </w:rPr>
        <w:t xml:space="preserve">Band 2 Articulation — Scripturally-Specified Pathway</w:t>
      </w:r>
    </w:p>
    <w:p>
      <w:pPr>
        <w:spacing w:after="480"/>
        <w:jc w:val="center"/>
      </w:pPr>
      <w:r>
        <w:rPr>
          <w:rFonts w:ascii="Arial" w:cs="Arial" w:eastAsia="Arial" w:hAnsi="Arial"/>
          <w:sz w:val="22"/>
          <w:szCs w:val="22"/>
        </w:rPr>
        <w:t xml:space="preserve">Group VI Architectural-Framework Substantially Complete</w:t>
      </w:r>
    </w:p>
    <w:p>
      <w:pPr>
        <w:spacing w:after="120"/>
        <w:jc w:val="center"/>
      </w:pPr>
      <w:r>
        <w:rPr>
          <w:rFonts w:ascii="Arial" w:cs="Arial" w:eastAsia="Arial" w:hAnsi="Arial"/>
          <w:sz w:val="22"/>
          <w:szCs w:val="22"/>
        </w:rPr>
        <w:t xml:space="preserve">Prepared for John G. Tittle</w:t>
      </w:r>
    </w:p>
    <w:p>
      <w:pPr>
        <w:spacing w:after="720"/>
        <w:jc w:val="center"/>
      </w:pPr>
      <w:r>
        <w:rPr>
          <w:rFonts w:ascii="Arial" w:cs="Arial" w:eastAsia="Arial" w:hAnsi="Arial"/>
          <w:sz w:val="22"/>
          <w:szCs w:val="22"/>
        </w:rPr>
        <w:t xml:space="preserve">May 21, 2026</w:t>
      </w:r>
    </w:p>
    <w:p>
      <w:r>
        <w:br w:type="page"/>
      </w:r>
    </w:p>
    <w:p>
      <w:pPr>
        <w:pStyle w:val="Heading1"/>
        <w:spacing w:after="240" w:before="360"/>
      </w:pPr>
      <w:r>
        <w:rPr>
          <w:rFonts w:ascii="Arial" w:cs="Arial" w:eastAsia="Arial" w:hAnsi="Arial"/>
          <w:b/>
          <w:bCs/>
          <w:sz w:val="36"/>
          <w:szCs w:val="36"/>
        </w:rPr>
        <w:t xml:space="preserve">Implementation Overview</w:t>
      </w:r>
    </w:p>
    <w:p>
      <w:pPr>
        <w:spacing w:after="160" w:line="300"/>
      </w:pPr>
      <w:r>
        <w:rPr>
          <w:rFonts w:ascii="Arial" w:cs="Arial" w:eastAsia="Arial" w:hAnsi="Arial"/>
          <w:b w:val="false"/>
          <w:bCs w:val="false"/>
          <w:i w:val="false"/>
          <w:iCs w:val="false"/>
          <w:sz w:val="22"/>
          <w:szCs w:val="22"/>
        </w:rPr>
        <w:t xml:space="preserve">This Word document holds the complete v5_6_0_13 implementation bundle — the focused single-admission pass at Period 2 / Group VI per the v5_6_0_12 Q1 ratification. The revision admits one Foundational Law (FL.XXXIV Marriage Covenant Architecture Law) at Band 2 articulation, addressing the dyadic pair-bond architecture with marriage as the canonically-articulated primary case.</w:t>
      </w:r>
    </w:p>
    <w:p>
      <w:pPr>
        <w:spacing w:after="160" w:line="300"/>
      </w:pPr>
      <w:r>
        <w:rPr>
          <w:rFonts w:ascii="Arial" w:cs="Arial" w:eastAsia="Arial" w:hAnsi="Arial"/>
          <w:b w:val="false"/>
          <w:bCs w:val="false"/>
          <w:i w:val="false"/>
          <w:iCs w:val="false"/>
          <w:sz w:val="22"/>
          <w:szCs w:val="22"/>
        </w:rPr>
        <w:t xml:space="preserve">The Band 2 articulation is structurally distinct from the prior Band 3 admissions at FL.XXIII Sabbath Rest Law and FL.XXXIII Community Polity Structure Law. The marriage covenant's operational pathway — the leave-and-cleave-and-one-flesh pattern of Gen. 2:24 ratified by Matt. 19:5 and Eph. 5:31 — is scripturally specified rather than tradition-arbitrated. The Band 2 admission holds the principle together with its scripturally-specified pathway as part of the law's articulation, demonstrating the band-of-closeness clarification's full range across Band 1 (FL.XXVIII), Band 2 (FL.XXXIV), and Band 3 (FL.XXIII, FL.XXXIII) admissions.</w:t>
      </w:r>
    </w:p>
    <w:p>
      <w:pPr>
        <w:spacing w:after="160" w:line="300"/>
      </w:pPr>
      <w:r>
        <w:rPr>
          <w:rFonts w:ascii="Arial" w:cs="Arial" w:eastAsia="Arial" w:hAnsi="Arial"/>
          <w:b w:val="false"/>
          <w:bCs w:val="false"/>
          <w:i w:val="false"/>
          <w:iCs w:val="false"/>
          <w:sz w:val="22"/>
          <w:szCs w:val="22"/>
        </w:rPr>
        <w:t xml:space="preserve">The broader dyadic-pair-bond architectural territory beyond marriage — the close-friendship covenant (Jonathan-David type), the discipleship dyad (Paul-Timothy, Elijah-Elisha, Naomi-Ruth types), the spiritual-direction pair (patristic anam cara through modern spiritual direction traditions) — is held within the marriage chapter as related architectural forms per the v5_6_0_12 Q3 working judgment, with separate-admission potential preserved for subsequent revisions if operational distinctness surfaces.</w:t>
      </w:r>
    </w:p>
    <w:p>
      <w:pPr>
        <w:spacing w:after="160" w:line="300"/>
      </w:pPr>
      <w:r>
        <w:rPr>
          <w:rFonts w:ascii="Arial" w:cs="Arial" w:eastAsia="Arial" w:hAnsi="Arial"/>
          <w:b w:val="false"/>
          <w:bCs w:val="false"/>
          <w:i w:val="false"/>
          <w:iCs w:val="false"/>
          <w:sz w:val="22"/>
          <w:szCs w:val="22"/>
        </w:rPr>
        <w:t xml:space="preserve">The catalog at v5_6_0_13 holds 50 analyzed entries, 34 Foundational Laws (up from 33), 9 Speculative entries (unchanged), zero Open Unknowns (unchanged), 1 anomaly, and 6 Vol 3 forward-references. The Vol 1 overview is updated to v5_6_0_27 "Thirty-Four Operational Laws." The expansion arc spanning v5_6_0_5 through v5_6_0_13 — twenty-one new Foundational Laws across nine revisions — continues to operate within the architecture established at v5_6_0_5 without requiring modification.</w:t>
      </w:r>
    </w:p>
    <w:p>
      <w:pPr>
        <w:spacing w:after="160" w:line="300"/>
      </w:pPr>
      <w:r>
        <w:rPr>
          <w:rFonts w:ascii="Arial" w:cs="Arial" w:eastAsia="Arial" w:hAnsi="Arial"/>
          <w:b w:val="false"/>
          <w:bCs w:val="false"/>
          <w:i w:val="false"/>
          <w:iCs w:val="false"/>
          <w:sz w:val="22"/>
          <w:szCs w:val="22"/>
        </w:rPr>
        <w:t xml:space="preserve">The Group VI architectural-framework work at the major scales is now substantially complete: FL.XXIII at P0/GVI (Band 3); FL.XXXIV at P2/GVI (Band 2); FL.XXXIII at P3/GVI (Band 3); FL.XXVIII at P4/GVI (Band 1). The Period 1 / Group VI and Period 5 / Group VI cells remain without Foundational entries; the v5_6_0_14 revision will begin Period 5 cosmic-eschatological territory work per the v5_6_0_11 Q4 and v5_6_0_12 Q4 ratifications.</w:t>
      </w:r>
    </w:p>
    <w:p>
      <w:r>
        <w:br w:type="page"/>
      </w:r>
    </w:p>
    <w:p>
      <w:pPr>
        <w:pStyle w:val="Heading1"/>
        <w:spacing w:after="240" w:before="360"/>
      </w:pPr>
      <w:r>
        <w:rPr>
          <w:rFonts w:ascii="Arial" w:cs="Arial" w:eastAsia="Arial" w:hAnsi="Arial"/>
          <w:b/>
          <w:bCs/>
          <w:sz w:val="36"/>
          <w:szCs w:val="36"/>
        </w:rPr>
        <w:t xml:space="preserve">Section A · FL.XXXIV Marriage Covenant Architecture Law</w:t>
      </w:r>
    </w:p>
    <w:p>
      <w:pPr>
        <w:spacing w:after="160" w:line="300"/>
      </w:pPr>
      <w:r>
        <w:rPr>
          <w:rFonts w:ascii="Arial" w:cs="Arial" w:eastAsia="Arial" w:hAnsi="Arial"/>
          <w:b w:val="false"/>
          <w:bCs w:val="false"/>
          <w:i w:val="false"/>
          <w:iCs w:val="false"/>
          <w:sz w:val="22"/>
          <w:szCs w:val="22"/>
        </w:rPr>
        <w:t xml:space="preserve">The new Foundational Law chapter follows. The chapter holds the full articulation of the law's scriptural ground, mechanism, and inclusion-bar reasoning, with the bold Proposed Law statement, italicized Mirror articulation, italicized Certainty rationale, and forward link at the chapter close. The chapter includes a dedicated sub-section on the broader dyadic-pair-bond architectural territory beyond marriage, holding the close-friendship covenant, discipleship dyad, and spiritual-direction pair cases as related architectural forms operating by structurally analogous principles within distinct operational scopes.</w:t>
      </w:r>
    </w:p>
    <w:p>
      <w:r>
        <w:br w:type="page"/>
      </w:r>
    </w:p>
    <w:p>
      <w:pPr>
        <w:pStyle w:val="Heading1"/>
        <w:spacing w:after="240" w:before="360"/>
      </w:pPr>
      <w:r>
        <w:rPr>
          <w:rFonts w:ascii="Arial" w:cs="Arial" w:eastAsia="Arial" w:hAnsi="Arial"/>
          <w:b/>
          <w:bCs/>
          <w:sz w:val="36"/>
          <w:szCs w:val="36"/>
        </w:rPr>
        <w:t xml:space="preserve">Foundational Law XXXIV: The Marriage Covenant Architecture Law</w:t>
      </w:r>
    </w:p>
    <w:p>
      <w:pPr>
        <w:spacing w:after="160" w:line="300"/>
      </w:pPr>
      <w:r>
        <w:rPr>
          <w:rFonts w:ascii="Arial" w:cs="Arial" w:eastAsia="Arial" w:hAnsi="Arial"/>
          <w:b w:val="false"/>
          <w:bCs w:val="false"/>
          <w:i w:val="false"/>
          <w:iCs w:val="false"/>
          <w:sz w:val="22"/>
          <w:szCs w:val="22"/>
        </w:rPr>
        <w:t xml:space="preserve">The thirty-fourth foundational law operates at the dyadic-pair-bond scale (Period 2 / Group VI) and addresses an operational territory whose scriptural and traditional articulation is among the most canonically-developed in the entire corpus. The marriage covenant — instituted at creation, addressed by the Mosaic and prophetic literature, taught by Jesus with reference back to the creation institution, articulated by Paul with reference forward to Christ and the Church, and held with substantial uniformity across mainstream Christian tradition — operates as the architectural framework conditioning the operations within the marital dyad. The covenant is not merely an emotional bond, a social arrangement, or a contractual relationship that can be modified without operational consequence at the dyadic-architectural level; it is the architectural envelope within which the husband-wife relational dynamics, the one-flesh operational unity, the procreation-and-companionship operational purposes, the inter-generational household formation operations, and the Christ-and-Church reflective dimension all occur, and the framework conditions the operations.</w:t>
      </w:r>
    </w:p>
    <w:p>
      <w:pPr>
        <w:spacing w:after="160" w:line="300"/>
      </w:pPr>
      <w:r>
        <w:rPr>
          <w:rFonts w:ascii="Arial" w:cs="Arial" w:eastAsia="Arial" w:hAnsi="Arial"/>
          <w:b w:val="false"/>
          <w:bCs w:val="false"/>
          <w:i w:val="false"/>
          <w:iCs w:val="false"/>
          <w:sz w:val="22"/>
          <w:szCs w:val="22"/>
        </w:rPr>
        <w:t xml:space="preserve">The law is admitted at the present revision as the v5_6_0_13 focused single-admission pass per the v5_6_0_12 Q1 ratification of marriage as the primary candidate for the dyadic pair-bond architecture admission at P2/GVI. The admission operates at </w:t>
      </w:r>
      <w:r>
        <w:rPr>
          <w:rFonts w:ascii="Arial" w:cs="Arial" w:eastAsia="Arial" w:hAnsi="Arial"/>
          <w:b/>
          <w:bCs/>
          <w:i w:val="false"/>
          <w:iCs w:val="false"/>
          <w:sz w:val="22"/>
          <w:szCs w:val="22"/>
        </w:rPr>
        <w:t xml:space="preserve">Band 2</w:t>
      </w:r>
      <w:r>
        <w:rPr>
          <w:rFonts w:ascii="Arial" w:cs="Arial" w:eastAsia="Arial" w:hAnsi="Arial"/>
          <w:b w:val="false"/>
          <w:bCs w:val="false"/>
          <w:i w:val="false"/>
          <w:iCs w:val="false"/>
          <w:sz w:val="22"/>
          <w:szCs w:val="22"/>
        </w:rPr>
        <w:t xml:space="preserve"> of the band-of-closeness clarification — the principle (marriage covenant operates as architectural framework) is admitted on its multi-author scriptural footing, with the specified pathway (the leave-and-cleave-and-one-flesh pattern instituted at Gen. 2:24 and ratified by Jesus at Matt. 19:5) as part of the principle's scriptural articulation rather than as tradition-by-tradition theological determination. The Band 2 articulation is structurally distinct from FL.XXIII Sabbath Rest Law's and FL.XXXIII Community Polity Structure Law's Band 3 admissions: the marriage covenant's operational form (covenant-monogamy between man and woman) is held with substantially more uniformity across mainstream Christian tradition than the polity-form question, with the operational pathway scripturally specified rather than tradition-arbitrated.</w:t>
      </w:r>
    </w:p>
    <w:p>
      <w:pPr>
        <w:spacing w:after="160" w:line="300"/>
      </w:pPr>
      <w:r>
        <w:rPr>
          <w:rFonts w:ascii="Arial" w:cs="Arial" w:eastAsia="Arial" w:hAnsi="Arial"/>
          <w:b w:val="false"/>
          <w:bCs w:val="false"/>
          <w:i w:val="false"/>
          <w:iCs w:val="false"/>
          <w:sz w:val="22"/>
          <w:szCs w:val="22"/>
        </w:rPr>
        <w:t xml:space="preserve">The broader dyadic-pair-bond architectural territory beyond marriage — the close-friendship covenant (Jonathan-David type, 1 Sam. 18:1–4 and 1 Sam. 20:42), the discipleship dyad (Paul-Timothy, Elijah-Elisha, Naomi-Ruth, the broader patristic and modern spiritual-direction tradition), the cross-generational-mentoring pair — is held within the present chapter as related dyadic-architectural forms per the v5_6_0_12 Q3 working judgment. The catalog's articulation of the broader dyadic-pair-bond territory does not require separate Foundational Law admission at the present revision; the related architectural forms operate by structurally analogous principles within their distinct operational scopes, and the marriage chapter's articulation holds them as related cases of the broader dyadic-covenant-architecture operational pattern.</w:t>
      </w:r>
    </w:p>
    <w:p>
      <w:pPr>
        <w:pStyle w:val="Heading2"/>
        <w:spacing w:after="160" w:before="240"/>
      </w:pPr>
      <w:r>
        <w:rPr>
          <w:rFonts w:ascii="Arial" w:cs="Arial" w:eastAsia="Arial" w:hAnsi="Arial"/>
          <w:b/>
          <w:bCs/>
          <w:sz w:val="30"/>
          <w:szCs w:val="30"/>
        </w:rPr>
        <w:t xml:space="preserve">Scriptural Ground</w:t>
      </w:r>
    </w:p>
    <w:p>
      <w:pPr>
        <w:spacing w:after="160" w:line="300"/>
      </w:pPr>
      <w:r>
        <w:rPr>
          <w:rFonts w:ascii="Arial" w:cs="Arial" w:eastAsia="Arial" w:hAnsi="Arial"/>
          <w:b w:val="false"/>
          <w:bCs w:val="false"/>
          <w:i w:val="false"/>
          <w:iCs w:val="false"/>
          <w:sz w:val="22"/>
          <w:szCs w:val="22"/>
        </w:rPr>
        <w:t xml:space="preserve">The scriptural witness for the marriage covenant operates across more biblical authors than any other Foundational Law in the catalog, with operational depth that extends from the creation narrative through the apocalyptic vision of the marriage supper of the Lamb. The Genesis writer holds the institution at Gen. 2:18–25 — the canonical scriptural articulation of marriage's establishment at creation. The pericope reports the operational ground: "Then the LORD God said, 'It is not good that the man should be alone; I will make him a helper fit for him.'" (v. 18). The institution proceeds through the divine deliberation, the formation of the woman from the rib while the man sleeps (vv. 21–22), the man's recognition response ("This at last is bone of my bones and flesh of my flesh; she shall be called Woman, because she was taken out of Man," v. 23), and the institutional declaration: "Therefore a man shall leave his father and his mother and hold fast to his wife, and they shall become one flesh" (v. 24). The closing observation "And the man and his wife were both naked and were not ashamed" (v. 25) articulates the pre-fall operational state of the marriage relationship.</w:t>
      </w:r>
    </w:p>
    <w:p>
      <w:pPr>
        <w:spacing w:after="160" w:line="300"/>
      </w:pPr>
      <w:r>
        <w:rPr>
          <w:rFonts w:ascii="Arial" w:cs="Arial" w:eastAsia="Arial" w:hAnsi="Arial"/>
          <w:b w:val="false"/>
          <w:bCs w:val="false"/>
          <w:i w:val="false"/>
          <w:iCs w:val="false"/>
          <w:sz w:val="22"/>
          <w:szCs w:val="22"/>
        </w:rPr>
        <w:t xml:space="preserve">The Gen. 2:24 institutional declaration is the canonical articulation of the marriage covenant's specified pathway — the leave-and-cleave-and-one-flesh pattern. The three operations the declaration names (leaving father and mother; holding fast to the wife; becoming one flesh) are operationally precise: the leaving establishes the new household's structural independence from the parental households; the holding-fast establishes the covenant's structural durability through the operational adherence to the covenant partner; the one-flesh becoming establishes the operational unification at the bodily-relational-and-procreative level. The three operations together constitute the marriage covenant's operational pathway; the covenant is not merely a verbal commitment but an operational architecture established through these three operations.</w:t>
      </w:r>
    </w:p>
    <w:p>
      <w:pPr>
        <w:spacing w:after="160" w:line="300"/>
      </w:pPr>
      <w:r>
        <w:rPr>
          <w:rFonts w:ascii="Arial" w:cs="Arial" w:eastAsia="Arial" w:hAnsi="Arial"/>
          <w:b w:val="false"/>
          <w:bCs w:val="false"/>
          <w:i w:val="false"/>
          <w:iCs w:val="false"/>
          <w:sz w:val="22"/>
          <w:szCs w:val="22"/>
        </w:rPr>
        <w:t xml:space="preserve">Gen. 1:27–28 holds the parallel articulation at the creation account's broader level: "So God created man in his own image, in the image of God he created him; male and female he created him. And God blessed them. And God said to them, 'Be fruitful and multiply and fill the earth and subdivide it.'" The Gen. 1 articulation establishes three operational features the marriage covenant operates within: the male-female creation as the image-of-God's structural completeness (with the human image of God operative in the male-and-female pair rather than in either alone); the divine blessing as the operational ground of the marriage relationship; the be-fruitful-and-multiply commission as the procreation operational purpose the covenant serves.</w:t>
      </w:r>
    </w:p>
    <w:p>
      <w:pPr>
        <w:spacing w:after="160" w:line="300"/>
      </w:pPr>
      <w:r>
        <w:rPr>
          <w:rFonts w:ascii="Arial" w:cs="Arial" w:eastAsia="Arial" w:hAnsi="Arial"/>
          <w:b w:val="false"/>
          <w:bCs w:val="false"/>
          <w:i w:val="false"/>
          <w:iCs w:val="false"/>
          <w:sz w:val="22"/>
          <w:szCs w:val="22"/>
        </w:rPr>
        <w:t xml:space="preserve">Malachi holds the canonical OT covenant articulation at Mal. 2:13–16: "And this second thing you do. You cover the LORD's altar with tears, with weeping and groaning because he no longer regards the offering or accepts it with favor from your hand. But you say, 'Why does he not?' Because the LORD was witness between you and the wife of your youth, to whom you have been faithless, though she is your companion and your wife by covenant. Did he not make them one, with a portion of the Spirit in their union? And what was the one God seeking? Godly offspring. So guard yourselves in your spirit, and let none of you be faithless to the wife of your youth. 'For the man who does not love his wife but divorces her,' says the LORD, the God of Israel, 'covers his garment with violence,' says the LORD of hosts. So guard yourselves in your spirit, and do not be faithless." The Malachi articulation establishes the marriage as covenant ("your wife by covenant"); names the LORD as the covenant's witness ("the LORD was witness between you and the wife of your youth"); articulates the covenant's purposes (the one-flesh union with a portion of the Spirit; godly offspring); and names the failure modes (faithlessness; covering one's garment with violence through divorce). The Malachi articulation is the canonical OT articulation of marriage at the explicit covenant-language level.</w:t>
      </w:r>
    </w:p>
    <w:p>
      <w:pPr>
        <w:spacing w:after="160" w:line="300"/>
      </w:pPr>
      <w:r>
        <w:rPr>
          <w:rFonts w:ascii="Arial" w:cs="Arial" w:eastAsia="Arial" w:hAnsi="Arial"/>
          <w:b w:val="false"/>
          <w:bCs w:val="false"/>
          <w:i w:val="false"/>
          <w:iCs w:val="false"/>
          <w:sz w:val="22"/>
          <w:szCs w:val="22"/>
        </w:rPr>
        <w:t xml:space="preserve">Jesus holds the canonical NT articulation at Matt. 19:3–9 (parallel at Mark 10:2–12). The Pharisees test Jesus on divorce: "And Pharisees came up to him and tested him by asking, 'Is it lawful to divorce one's wife for any cause?' He answered, 'Have you not read that he who created them from the beginning made them male and female, and said, "Therefore a man shall leave his father and his mother and hold fast to his wife, and the two shall become one flesh"? So they are no longer two but one flesh. What therefore God has joined together, let not man separate.'" The Jesus articulation is operationally significant for the present law for several reasons. First, Jesus's reference back to the Gen. 1:27 and Gen. 2:24 institutional articulations names the creation-establishment as the canonical operational ground. Second, Jesus's "so they are no longer two but one flesh" articulates the covenant's operational reality — the marriage produces an operational unity that exceeds the sum of the two individuals. Third, Jesus's "what therefore God has joined together, let not man separate" names the covenant's structural durability through the divine-establishment character — the covenant's holding is grounded in God's joining-together work rather than in the human partners' continuing operational commitment alone. The Markan parallel at Mark 10:6–9 holds the same articulation with the additional pre-history context (Moses's Deuteronomic divorce provision as accommodation to hardness-of-heart at v. 5).</w:t>
      </w:r>
    </w:p>
    <w:p>
      <w:pPr>
        <w:spacing w:after="160" w:line="300"/>
      </w:pPr>
      <w:r>
        <w:rPr>
          <w:rFonts w:ascii="Arial" w:cs="Arial" w:eastAsia="Arial" w:hAnsi="Arial"/>
          <w:b w:val="false"/>
          <w:bCs w:val="false"/>
          <w:i w:val="false"/>
          <w:iCs w:val="false"/>
          <w:sz w:val="22"/>
          <w:szCs w:val="22"/>
        </w:rPr>
        <w:t xml:space="preserve">Paul holds the canonical Pauline articulation at Eph. 5:22–33 — the Christ-and-Church image. The pericope establishes the husband-wife operational dynamics through reference to the Christ-and-Church relationship: "Wives, submit to your own husbands, as to the Lord. For the husband is the head of the wife even as Christ is the head of the church, his body, and is himself its Savior. Now as the church submits to Christ, so also wives should submit to their husbands in everything. Husbands, love your wives, as Christ loved the church and gave himself up for her, that he might sanctify her, having cleansed her by the washing of water with the word, so that he might present the church to himself in splendor, without spot or wrinkle or any such thing, that she might be holy and without blemish. In the same way husbands should love their wives as their own bodies. He who loves his wife loves himself. For no one ever hated his own flesh, but nourishes and cherishes it, just as Christ does the church, because we are members of his body. 'Therefore a man shall leave his father and his mother and hold fast to his wife, and the two shall become one flesh.' This mystery is profound, and I am saying that it refers to Christ and the church." The Pauline articulation establishes three operational features the present law operates within. First, the husband-wife operational dynamics structurally parallel the Christ-and-Church relationship (the headship-and-submission pattern; the love-and-giving-of-self pattern; the sanctifying-and-cherishing pattern). Second, the Gen. 2:24 leave-and-cleave-and-one-flesh declaration is cited by Paul as referring to "Christ and the church" at the deepest theological level — the marriage covenant has eschatological-and-ecclesiological reflective dimension beyond its dyadic-operational dimension. Third, the marriage covenant is named as "mystery" (μυστήριον, mysterion) — a term that names the operational reality whose full significance is theologically-disclosed rather than merely-empirical.</w:t>
      </w:r>
    </w:p>
    <w:p>
      <w:pPr>
        <w:spacing w:after="160" w:line="300"/>
      </w:pPr>
      <w:r>
        <w:rPr>
          <w:rFonts w:ascii="Arial" w:cs="Arial" w:eastAsia="Arial" w:hAnsi="Arial"/>
          <w:b w:val="false"/>
          <w:bCs w:val="false"/>
          <w:i w:val="false"/>
          <w:iCs w:val="false"/>
          <w:sz w:val="22"/>
          <w:szCs w:val="22"/>
        </w:rPr>
        <w:t xml:space="preserve">The Hebrews writer holds the canonical articulation at Heb. 13:4: "Let marriage be held in honor among all, and let the marriage bed be undefiled, for God will judge the sexually immoral and adulterous." The Hebrews articulation names two operational features: the marriage's honor across the broader community ("among all") establishes the covenant's broader-community-recognition dimension; the marriage bed's undefiled character names the exclusivity of the sexual-relational operation within the covenant. The eschatological-judgment grounding ("God will judge the sexually immoral and adulterous") establishes the covenant's eschatological-accountability character.</w:t>
      </w:r>
    </w:p>
    <w:p>
      <w:pPr>
        <w:spacing w:after="160" w:line="300"/>
      </w:pPr>
      <w:r>
        <w:rPr>
          <w:rFonts w:ascii="Arial" w:cs="Arial" w:eastAsia="Arial" w:hAnsi="Arial"/>
          <w:b w:val="false"/>
          <w:bCs w:val="false"/>
          <w:i w:val="false"/>
          <w:iCs w:val="false"/>
          <w:sz w:val="22"/>
          <w:szCs w:val="22"/>
        </w:rPr>
        <w:t xml:space="preserve">Peter holds the canonical articulation at 1 Pet. 3:1–7: "Likewise, wives, be subject to your own husbands, so that even if some do not obey the word, they may be won without a word by the conduct of their wives, when they see your respectful and pure conduct. Do not let your adorning be external — the braiding of hair and the putting on of gold jewelry, or the clothing you wear — but let your adorning be the hidden person of the heart with the imperishable beauty of a gentle and quiet spirit, which in God's sight is very precious. … Likewise, husbands, live with your wives in an understanding way, showing honor to the woman as the weaker vessel, since they are heirs with you of the grace of life, so that your prayers may not be hindered." The Petrine articulation establishes the operational character of both partners within the covenant: the wife's respectful and pure conduct; the husband's understanding way of living together; the showing-honor; the joint-heir-of-grace-of-life status; the prayer-life consequence ("so that your prayers may not be hindered"). The Petrine articulation holds the operational substance of the marriage covenant at the daily-conduct level.</w:t>
      </w:r>
    </w:p>
    <w:p>
      <w:pPr>
        <w:spacing w:after="160" w:line="300"/>
      </w:pPr>
      <w:r>
        <w:rPr>
          <w:rFonts w:ascii="Arial" w:cs="Arial" w:eastAsia="Arial" w:hAnsi="Arial"/>
          <w:b w:val="false"/>
          <w:bCs w:val="false"/>
          <w:i w:val="false"/>
          <w:iCs w:val="false"/>
          <w:sz w:val="22"/>
          <w:szCs w:val="22"/>
        </w:rPr>
        <w:t xml:space="preserve">Paul holds the supplementary Pauline articulation at 1 Cor. 7 — the extended Pauline marriage instruction. The pericope addresses multiple operational dimensions: the conjugal rights and responsibilities (vv. 1–5); the unmarried-and-widowed counsel (vv. 6–9); the marriage's permanence and the question of divorce (vv. 10–16); the broader question of remaining in one's calling (vv. 17–24); the unmarried virgins (vv. 25–38); the widow's situation (vv. 39–40). The 1 Cor. 7 articulation holds the marriage covenant's operational reality at the apostolic-pastoral instruction level with particular attention to the operational complexities the early-church marriage faced.</w:t>
      </w:r>
    </w:p>
    <w:p>
      <w:pPr>
        <w:spacing w:after="160" w:line="300"/>
      </w:pPr>
      <w:r>
        <w:rPr>
          <w:rFonts w:ascii="Arial" w:cs="Arial" w:eastAsia="Arial" w:hAnsi="Arial"/>
          <w:b w:val="false"/>
          <w:bCs w:val="false"/>
          <w:i w:val="false"/>
          <w:iCs w:val="false"/>
          <w:sz w:val="22"/>
          <w:szCs w:val="22"/>
        </w:rPr>
        <w:t xml:space="preserve">The wisdom literature holds the supplementary articulation across multiple texts. Prov. 5:15–19 names the marital sexual exclusivity in the canonical wisdom articulation. Prov. 18:22 names the finding-of-a-wife as obtaining favor from the LORD. Prov. 31:10–31 names the excellent-wife articulation. The Song of Songs holds the canonical articulation of marital love in poetic form, with the lover-and-beloved articulation operating as the canonical biblical love poetry. The wisdom material together establishes the marriage covenant's articulation across the wisdom register of the canonical witness.</w:t>
      </w:r>
    </w:p>
    <w:p>
      <w:pPr>
        <w:spacing w:after="160" w:line="300"/>
      </w:pPr>
      <w:r>
        <w:rPr>
          <w:rFonts w:ascii="Arial" w:cs="Arial" w:eastAsia="Arial" w:hAnsi="Arial"/>
          <w:b w:val="false"/>
          <w:bCs w:val="false"/>
          <w:i w:val="false"/>
          <w:iCs w:val="false"/>
          <w:sz w:val="22"/>
          <w:szCs w:val="22"/>
        </w:rPr>
        <w:t xml:space="preserve">The Old Testament marriage cases hold the supplementary narrative articulation across the canonical witness. Adam and Eve at Gen. 2–4 hold the canonical first marriage case. Abraham and Sarah at Gen. 12–25 hold the canonical patriarchal marriage case with the operational features of barrenness, faith, and inter-generational promise. Isaac and Rebekah at Gen. 24 hold the canonical case of marriage initiated through the household's deliberate establishment work. Jacob and Rachel/Leah at Gen. 29–30 hold the canonical case of marriage operating under complications. Boaz and Ruth at Ruth 4 hold the canonical case of marriage operating through covenant-redemption work. Hosea and Gomer at Hosea 1–3 hold the canonical case of marriage operating as prophetic-sign of God's covenant relationship with Israel. The narrative cases together establish the marriage covenant's operational reality across the breadth of canonical witness.</w:t>
      </w:r>
    </w:p>
    <w:p>
      <w:pPr>
        <w:spacing w:after="160" w:line="300"/>
      </w:pPr>
      <w:r>
        <w:rPr>
          <w:rFonts w:ascii="Arial" w:cs="Arial" w:eastAsia="Arial" w:hAnsi="Arial"/>
          <w:b w:val="false"/>
          <w:bCs w:val="false"/>
          <w:i w:val="false"/>
          <w:iCs w:val="false"/>
          <w:sz w:val="22"/>
          <w:szCs w:val="22"/>
        </w:rPr>
        <w:t xml:space="preserve">The apocalyptic articulation operates at Rev. 19:6–9 and 21:1–11 with the marriage-supper-of-the-Lamb and new-Jerusalem-as-bride material — the eschatological completion of the Christ-and-Church marriage that Paul's Ephesians 5 articulates. The apocalyptic dimension establishes the marriage covenant's eschatological-completion grounding within the canonical witness's broader scope.</w:t>
      </w:r>
    </w:p>
    <w:p>
      <w:pPr>
        <w:spacing w:after="160" w:line="300"/>
      </w:pPr>
      <w:r>
        <w:rPr>
          <w:rFonts w:ascii="Arial" w:cs="Arial" w:eastAsia="Arial" w:hAnsi="Arial"/>
          <w:b w:val="false"/>
          <w:bCs w:val="false"/>
          <w:i w:val="false"/>
          <w:iCs w:val="false"/>
          <w:sz w:val="22"/>
          <w:szCs w:val="22"/>
        </w:rPr>
        <w:t xml:space="preserve">The cumulative scriptural witness establishes the marriage covenant law's operational scope across both Testaments with at least seven distinct biblical authors holding the law substantively (the Genesis writer; Malachi; Matthew and Mark; Paul across multiple letters; the Hebrews writer; Peter; the wisdom writers; the Song of Songs poet; the Hosea writer; John in Revelation). The number of biblical authors holding the law exceeds the catalog's two-author minimum threshold by substantial margin, with the operational depth across creation, prophetic, gospel, apostolic, wisdom, narrative, and apocalyptic registers establishing the law's canonical centrality.</w:t>
      </w:r>
    </w:p>
    <w:p>
      <w:pPr>
        <w:pStyle w:val="Heading2"/>
        <w:spacing w:after="160" w:before="240"/>
      </w:pPr>
      <w:r>
        <w:rPr>
          <w:rFonts w:ascii="Arial" w:cs="Arial" w:eastAsia="Arial" w:hAnsi="Arial"/>
          <w:b/>
          <w:bCs/>
          <w:sz w:val="30"/>
          <w:szCs w:val="30"/>
        </w:rPr>
        <w:t xml:space="preserve">Mechanism</w:t>
      </w:r>
    </w:p>
    <w:p>
      <w:pPr>
        <w:spacing w:after="160" w:line="300"/>
      </w:pPr>
      <w:r>
        <w:rPr>
          <w:rFonts w:ascii="Arial" w:cs="Arial" w:eastAsia="Arial" w:hAnsi="Arial"/>
          <w:b w:val="false"/>
          <w:bCs w:val="false"/>
          <w:i w:val="false"/>
          <w:iCs w:val="false"/>
          <w:sz w:val="22"/>
          <w:szCs w:val="22"/>
        </w:rPr>
        <w:t xml:space="preserve">The law's mechanism operates by the marriage covenant's architectural-framework function conditioning the operations within the marital dyad. The corporate person-structure scriptural-definition document's treatment of corporate structural frame as the architectural envelope within which other operational dimensions occur extends down-scale to the dyadic pair-bond at Period 2; the marriage covenant operates as the dyadic-scale architectural envelope at the same operational structural level the polity-structure operates at the community-scale.</w:t>
      </w:r>
    </w:p>
    <w:p>
      <w:pPr>
        <w:spacing w:after="160" w:line="300"/>
      </w:pPr>
      <w:r>
        <w:rPr>
          <w:rFonts w:ascii="Arial" w:cs="Arial" w:eastAsia="Arial" w:hAnsi="Arial"/>
          <w:b w:val="false"/>
          <w:bCs w:val="false"/>
          <w:i w:val="false"/>
          <w:iCs w:val="false"/>
          <w:sz w:val="22"/>
          <w:szCs w:val="22"/>
        </w:rPr>
        <w:t xml:space="preserve">The architectural-framework character of the marriage covenant is the law's pivot. The marriage covenant is not an operation within the dyad's life alongside the spousal-love and the conjugal union and the procreation and the inter-generational household formation; it is the architectural envelope within which those operations are conducted. The spousal-love operates within the covenant's exclusivity arrangement (the one-flesh union being structurally exclusive to the covenant partners per Mal. 2:14, Heb. 13:4, the Pauline 1 Cor. 7 conjugal-rights articulation). The conjugal union operates within the covenant's structural durability (the Matt. 19:6 "what God has joined together let not man separate" naming the covenant's not-to-be-separated character). The procreation operates within the covenant's openness to children (the Gen. 1:28 be-fruitful-and-multiply commission; the Mal. 2:15 "godly offspring" naming the covenant's procreative-purpose). The inter-generational household formation operates within the covenant's leave-and-cleave establishment of the new household (the Gen. 2:24 leaving father-and-mother naming the structural independence of the marriage's household from the parental households). The marriage covenant as architectural framework is operationally consequential at every operational dimension the marital dyad engages.</w:t>
      </w:r>
    </w:p>
    <w:p>
      <w:pPr>
        <w:spacing w:after="160" w:line="300"/>
      </w:pPr>
      <w:r>
        <w:rPr>
          <w:rFonts w:ascii="Arial" w:cs="Arial" w:eastAsia="Arial" w:hAnsi="Arial"/>
          <w:b w:val="false"/>
          <w:bCs w:val="false"/>
          <w:i w:val="false"/>
          <w:iCs w:val="false"/>
          <w:sz w:val="22"/>
          <w:szCs w:val="22"/>
        </w:rPr>
        <w:t xml:space="preserve">The leave-and-cleave-and-one-flesh pathway is the law's scripturally-specified operational pattern. The three operations the Gen. 2:24 declaration names — leaving father and mother; holding fast to the wife; becoming one flesh — constitute the marriage covenant's operational pathway. The Band 2 articulation reflects the scriptural specification of this pathway: the operational pathway is not tradition-by-tradition determined but scripturally articulated, with the same pathway named at Gen. 2:24 reiterated by Jesus at Matt. 19:5 and by Paul at Eph. 5:31. The mechanism by which the pathway operates includes:</w:t>
      </w:r>
    </w:p>
    <w:p>
      <w:pPr>
        <w:spacing w:after="160" w:line="300"/>
      </w:pPr>
      <w:r>
        <w:rPr>
          <w:rFonts w:ascii="Arial" w:cs="Arial" w:eastAsia="Arial" w:hAnsi="Arial"/>
          <w:b/>
          <w:bCs/>
          <w:i w:val="false"/>
          <w:iCs w:val="false"/>
          <w:sz w:val="22"/>
          <w:szCs w:val="22"/>
        </w:rPr>
        <w:t xml:space="preserve">Leaving</w:t>
      </w:r>
      <w:r>
        <w:rPr>
          <w:rFonts w:ascii="Arial" w:cs="Arial" w:eastAsia="Arial" w:hAnsi="Arial"/>
          <w:b w:val="false"/>
          <w:bCs w:val="false"/>
          <w:i w:val="false"/>
          <w:iCs w:val="false"/>
          <w:sz w:val="22"/>
          <w:szCs w:val="22"/>
        </w:rPr>
        <w:t xml:space="preserve">: The structural independence of the new household from the parental households. The leaving is not merely geographical or financial; it is structural — the marriage covenant establishes a new household whose operational center is the marital dyad rather than either of the parental households the partners come from. The operational consequences include: the new household's independent decision-making authority (rather than parental decision-making for the married pair); the new household's primary loyalty arrangement (the spouse as primary relational priority); the new household's developmental trajectory (oriented toward the marriage's own formation rather than continuing the parental household's trajectory).</w:t>
      </w:r>
    </w:p>
    <w:p>
      <w:pPr>
        <w:spacing w:after="160" w:line="300"/>
      </w:pPr>
      <w:r>
        <w:rPr>
          <w:rFonts w:ascii="Arial" w:cs="Arial" w:eastAsia="Arial" w:hAnsi="Arial"/>
          <w:b/>
          <w:bCs/>
          <w:i w:val="false"/>
          <w:iCs w:val="false"/>
          <w:sz w:val="22"/>
          <w:szCs w:val="22"/>
        </w:rPr>
        <w:t xml:space="preserve">Cleaving</w:t>
      </w:r>
      <w:r>
        <w:rPr>
          <w:rFonts w:ascii="Arial" w:cs="Arial" w:eastAsia="Arial" w:hAnsi="Arial"/>
          <w:b w:val="false"/>
          <w:bCs w:val="false"/>
          <w:i w:val="false"/>
          <w:iCs w:val="false"/>
          <w:sz w:val="22"/>
          <w:szCs w:val="22"/>
        </w:rPr>
        <w:t xml:space="preserve">: The structural durability of the covenant's operational holding. The cleaving (Hebrew dāḇaq, "to cling, adhere, stick to") is the operational adherence to the covenant partner across time. The mechanism by which the cleaving operates includes: the operational priority of the marriage relationship over other relational claims (with appropriate operational priority of God-relationship per FL.III Heart-Throne and FL.XIV Vanity-of-Substitutes); the operational durability through the difficulties that operationally arise (the cleaving's not-yielding-under-pressure character); the operational re-engagement after periods of operational distance (the cleaving's restoration character).</w:t>
      </w:r>
    </w:p>
    <w:p>
      <w:pPr>
        <w:spacing w:after="160" w:line="300"/>
      </w:pPr>
      <w:r>
        <w:rPr>
          <w:rFonts w:ascii="Arial" w:cs="Arial" w:eastAsia="Arial" w:hAnsi="Arial"/>
          <w:b/>
          <w:bCs/>
          <w:i w:val="false"/>
          <w:iCs w:val="false"/>
          <w:sz w:val="22"/>
          <w:szCs w:val="22"/>
        </w:rPr>
        <w:t xml:space="preserve">One-flesh becoming</w:t>
      </w:r>
      <w:r>
        <w:rPr>
          <w:rFonts w:ascii="Arial" w:cs="Arial" w:eastAsia="Arial" w:hAnsi="Arial"/>
          <w:b w:val="false"/>
          <w:bCs w:val="false"/>
          <w:i w:val="false"/>
          <w:iCs w:val="false"/>
          <w:sz w:val="22"/>
          <w:szCs w:val="22"/>
        </w:rPr>
        <w:t xml:space="preserve">: The operational unification at the bodily-relational-and-procreative level. The one-flesh becoming is the operational unification of the two partners into the operational unity the covenant produces. The mechanism by which the one-flesh becoming operates includes: the sexual-relational unity (the conjugal union as the bodily expression of the covenant's operational unification); the relational-and-emotional unification (the operational becoming of the two partners as one operational unit at the relational level); the procreative-and-household unification (the children of the marriage as the operational expression of the one-flesh becoming at the inter-generational level); the eschatological reflective dimension (the marriage's one-flesh becoming as the reflection of the Christ-and-Church union per Eph. 5:32).</w:t>
      </w:r>
    </w:p>
    <w:p>
      <w:pPr>
        <w:spacing w:after="160" w:line="300"/>
      </w:pPr>
      <w:r>
        <w:rPr>
          <w:rFonts w:ascii="Arial" w:cs="Arial" w:eastAsia="Arial" w:hAnsi="Arial"/>
          <w:b w:val="false"/>
          <w:bCs w:val="false"/>
          <w:i w:val="false"/>
          <w:iCs w:val="false"/>
          <w:sz w:val="22"/>
          <w:szCs w:val="22"/>
        </w:rPr>
        <w:t xml:space="preserve">The Christ-and-Church reflective dimension is the third operational feature the Pauline material establishes. Eph. 5:32's "This mystery is profound, and I am saying that it refers to Christ and the church" names the marriage covenant's deepest operational significance — the dyadic-architectural arrangement reflects the cosmic-eschatological arrangement of Christ and his church. The mechanism by which the reflection operates includes: the husband-wife dynamics structurally paralleling the Christ-Church relationship (the headship-and-submission pattern per Eph. 5:22–24; the love-and-giving-of-self pattern per Eph. 5:25–27; the nourishing-and-cherishing pattern per Eph. 5:28–29); the marriage's eschatological orientation toward the marriage supper of the Lamb (Rev. 19:6–9; 21:1–11); the marriage's operational embodiment of the gospel pattern at the dyadic-scale. The reflective dimension is operationally important because it grounds the marriage covenant's significance beyond its merely-dyadic dimension; the marriage operates as the reflection of the cosmic-eschatological reality at the dyadic-architectural scale.</w:t>
      </w:r>
    </w:p>
    <w:p>
      <w:pPr>
        <w:spacing w:after="160" w:line="300"/>
      </w:pPr>
      <w:r>
        <w:rPr>
          <w:rFonts w:ascii="Arial" w:cs="Arial" w:eastAsia="Arial" w:hAnsi="Arial"/>
          <w:b w:val="false"/>
          <w:bCs w:val="false"/>
          <w:i w:val="false"/>
          <w:iCs w:val="false"/>
          <w:sz w:val="22"/>
          <w:szCs w:val="22"/>
        </w:rPr>
        <w:t xml:space="preserve">The procreation-and-companionship operational purposes deserve articulation. The marriage covenant operates for multiple purposes the scriptural witness articulates: the companionship purpose (Gen. 2:18's "it is not good that the man should be alone" naming the not-aloneness operational purpose); the procreation purpose (Gen. 1:28's be-fruitful-and-multiply and Mal. 2:15's godly offspring naming the inter-generational operational purpose); the mutual-sanctification purpose (the Pauline Eph. 5:25–27 articulation of the sanctification work the covenant-love performs); the witness purpose (the Christ-and-Church reflective dimension of Eph. 5:32 naming the witness operational purpose); the kingdom-extension purpose (the household formation as the foundational scale of the church's continued growth, per FL.XXI Household Formation Law's operational scope and FL.XXVIII Generational Nested Structure Law's nested-architecture articulation). The various purposes operate within the single covenant architecture; the marriage covenant is not reducible to any single purpose but operates by the integration of the various purposes within the covenant's architectural framework.</w:t>
      </w:r>
    </w:p>
    <w:p>
      <w:pPr>
        <w:spacing w:after="160" w:line="300"/>
      </w:pPr>
      <w:r>
        <w:rPr>
          <w:rFonts w:ascii="Arial" w:cs="Arial" w:eastAsia="Arial" w:hAnsi="Arial"/>
          <w:b w:val="false"/>
          <w:bCs w:val="false"/>
          <w:i w:val="false"/>
          <w:iCs w:val="false"/>
          <w:sz w:val="22"/>
          <w:szCs w:val="22"/>
        </w:rPr>
        <w:t xml:space="preserve">The relationship to other Foundational Laws deserves articulation. The present law operates in operational relationship to several other Foundational Laws:</w:t>
      </w:r>
    </w:p>
    <w:p>
      <w:pPr>
        <w:spacing w:after="160" w:line="300"/>
      </w:pPr>
      <w:r>
        <w:rPr>
          <w:rFonts w:ascii="Arial" w:cs="Arial" w:eastAsia="Arial" w:hAnsi="Arial"/>
          <w:b/>
          <w:bCs/>
          <w:i w:val="false"/>
          <w:iCs w:val="false"/>
          <w:sz w:val="22"/>
          <w:szCs w:val="22"/>
        </w:rPr>
        <w:t xml:space="preserve">FL.XII Honor-Authority Flourishing Law</w:t>
      </w:r>
      <w:r>
        <w:rPr>
          <w:rFonts w:ascii="Arial" w:cs="Arial" w:eastAsia="Arial" w:hAnsi="Arial"/>
          <w:b w:val="false"/>
          <w:bCs w:val="false"/>
          <w:i w:val="false"/>
          <w:iCs w:val="false"/>
          <w:sz w:val="22"/>
          <w:szCs w:val="22"/>
        </w:rPr>
        <w:t xml:space="preserve"> (P2/GV, H): The honor-authority dynamics within the marriage covenant operate at the dyadic relational scale FL.XII addresses; the marriage covenant's architectural framework holds the honor-authority dynamics within its operational scope, with the Eph. 5:22–33 articulation establishing the specific operational form for the marriage relationship.</w:t>
      </w:r>
    </w:p>
    <w:p>
      <w:pPr>
        <w:spacing w:after="160" w:line="300"/>
      </w:pPr>
      <w:r>
        <w:rPr>
          <w:rFonts w:ascii="Arial" w:cs="Arial" w:eastAsia="Arial" w:hAnsi="Arial"/>
          <w:b/>
          <w:bCs/>
          <w:i w:val="false"/>
          <w:iCs w:val="false"/>
          <w:sz w:val="22"/>
          <w:szCs w:val="22"/>
        </w:rPr>
        <w:t xml:space="preserve">FL.XVII Substitution-Cascade Law</w:t>
      </w:r>
      <w:r>
        <w:rPr>
          <w:rFonts w:ascii="Arial" w:cs="Arial" w:eastAsia="Arial" w:hAnsi="Arial"/>
          <w:b w:val="false"/>
          <w:bCs w:val="false"/>
          <w:i w:val="false"/>
          <w:iCs w:val="false"/>
          <w:sz w:val="22"/>
          <w:szCs w:val="22"/>
        </w:rPr>
        <w:t xml:space="preserve"> and </w:t>
      </w:r>
      <w:r>
        <w:rPr>
          <w:rFonts w:ascii="Arial" w:cs="Arial" w:eastAsia="Arial" w:hAnsi="Arial"/>
          <w:b/>
          <w:bCs/>
          <w:i w:val="false"/>
          <w:iCs w:val="false"/>
          <w:sz w:val="22"/>
          <w:szCs w:val="22"/>
        </w:rPr>
        <w:t xml:space="preserve">FL.XXI Household Formation Law</w:t>
      </w:r>
      <w:r>
        <w:rPr>
          <w:rFonts w:ascii="Arial" w:cs="Arial" w:eastAsia="Arial" w:hAnsi="Arial"/>
          <w:b w:val="false"/>
          <w:bCs w:val="false"/>
          <w:i w:val="false"/>
          <w:iCs w:val="false"/>
          <w:sz w:val="22"/>
          <w:szCs w:val="22"/>
        </w:rPr>
        <w:t xml:space="preserve"> (P4/GII, paired bidirectional): The marriage covenant operates as the foundational scale of the household whose formation FL.XXI and FL.XVII address at the inter-generational scale; the marriage covenant's operational state determines the household-formation dynamics that operate up-scale through FL.XXI and FL.XVII.</w:t>
      </w:r>
    </w:p>
    <w:p>
      <w:pPr>
        <w:spacing w:after="160" w:line="300"/>
      </w:pPr>
      <w:r>
        <w:rPr>
          <w:rFonts w:ascii="Arial" w:cs="Arial" w:eastAsia="Arial" w:hAnsi="Arial"/>
          <w:b/>
          <w:bCs/>
          <w:i w:val="false"/>
          <w:iCs w:val="false"/>
          <w:sz w:val="22"/>
          <w:szCs w:val="22"/>
        </w:rPr>
        <w:t xml:space="preserve">FL.XXVIII Generational Nested Structure Law</w:t>
      </w:r>
      <w:r>
        <w:rPr>
          <w:rFonts w:ascii="Arial" w:cs="Arial" w:eastAsia="Arial" w:hAnsi="Arial"/>
          <w:b w:val="false"/>
          <w:bCs w:val="false"/>
          <w:i w:val="false"/>
          <w:iCs w:val="false"/>
          <w:sz w:val="22"/>
          <w:szCs w:val="22"/>
        </w:rPr>
        <w:t xml:space="preserve"> (P4/GVI): The marriage covenant operates as the architectural framework at the dyadic scale within the nested-formation envelope FL.XXVIII articulates; the marriage-household-community-generation-tradition-eschatological-people-of-God nesting begins at the marriage-household scale FL.XXXIV holds.</w:t>
      </w:r>
    </w:p>
    <w:p>
      <w:pPr>
        <w:spacing w:after="160" w:line="300"/>
      </w:pPr>
      <w:r>
        <w:rPr>
          <w:rFonts w:ascii="Arial" w:cs="Arial" w:eastAsia="Arial" w:hAnsi="Arial"/>
          <w:b/>
          <w:bCs/>
          <w:i w:val="false"/>
          <w:iCs w:val="false"/>
          <w:sz w:val="22"/>
          <w:szCs w:val="22"/>
        </w:rPr>
        <w:t xml:space="preserve">FL.XXXIII Community Polity Structure Law</w:t>
      </w:r>
      <w:r>
        <w:rPr>
          <w:rFonts w:ascii="Arial" w:cs="Arial" w:eastAsia="Arial" w:hAnsi="Arial"/>
          <w:b w:val="false"/>
          <w:bCs w:val="false"/>
          <w:i w:val="false"/>
          <w:iCs w:val="false"/>
          <w:sz w:val="22"/>
          <w:szCs w:val="22"/>
        </w:rPr>
        <w:t xml:space="preserve"> (P3/GVI): The present law operates as the dyadic-scale parallel to FL.XXXIII's community-scale architectural-framework articulation; the two laws together hold the catalog's architectural-framework articulation at the dyadic and community scales (with FL.XXIII Sabbath Rest at P0/GVI and FL.XXVIII at P4/GVI completing the Group VI articulation across the major scales).</w:t>
      </w:r>
    </w:p>
    <w:p>
      <w:pPr>
        <w:spacing w:after="160" w:line="300"/>
      </w:pPr>
      <w:r>
        <w:rPr>
          <w:rFonts w:ascii="Arial" w:cs="Arial" w:eastAsia="Arial" w:hAnsi="Arial"/>
          <w:b/>
          <w:bCs/>
          <w:i w:val="false"/>
          <w:iCs w:val="false"/>
          <w:sz w:val="22"/>
          <w:szCs w:val="22"/>
        </w:rPr>
        <w:t xml:space="preserve">FL.III Heart-Throne Law</w:t>
      </w:r>
      <w:r>
        <w:rPr>
          <w:rFonts w:ascii="Arial" w:cs="Arial" w:eastAsia="Arial" w:hAnsi="Arial"/>
          <w:b w:val="false"/>
          <w:bCs w:val="false"/>
          <w:i w:val="false"/>
          <w:iCs w:val="false"/>
          <w:sz w:val="22"/>
          <w:szCs w:val="22"/>
        </w:rPr>
        <w:t xml:space="preserve"> and </w:t>
      </w:r>
      <w:r>
        <w:rPr>
          <w:rFonts w:ascii="Arial" w:cs="Arial" w:eastAsia="Arial" w:hAnsi="Arial"/>
          <w:b/>
          <w:bCs/>
          <w:i w:val="false"/>
          <w:iCs w:val="false"/>
          <w:sz w:val="22"/>
          <w:szCs w:val="22"/>
        </w:rPr>
        <w:t xml:space="preserve">FL.XIV Vanity-of-Substitutes Law</w:t>
      </w:r>
      <w:r>
        <w:rPr>
          <w:rFonts w:ascii="Arial" w:cs="Arial" w:eastAsia="Arial" w:hAnsi="Arial"/>
          <w:b w:val="false"/>
          <w:bCs w:val="false"/>
          <w:i w:val="false"/>
          <w:iCs w:val="false"/>
          <w:sz w:val="22"/>
          <w:szCs w:val="22"/>
        </w:rPr>
        <w:t xml:space="preserve"> (P1/GII): The marriage covenant operates within the proper God-orientation FL.III names; the marriage relationship as substitute-for-God operates as the Mirror failure mode FL.XIV addresses, with the operational consequences the marriage-as-idol distortion produces.</w:t>
      </w:r>
    </w:p>
    <w:p>
      <w:pPr>
        <w:pStyle w:val="Heading2"/>
        <w:spacing w:after="160" w:before="240"/>
      </w:pPr>
      <w:r>
        <w:rPr>
          <w:rFonts w:ascii="Arial" w:cs="Arial" w:eastAsia="Arial" w:hAnsi="Arial"/>
          <w:b/>
          <w:bCs/>
          <w:sz w:val="30"/>
          <w:szCs w:val="30"/>
        </w:rPr>
        <w:t xml:space="preserve">The Broader Dyadic-Pair-Bond Architectural Territory</w:t>
      </w:r>
    </w:p>
    <w:p>
      <w:pPr>
        <w:spacing w:after="160" w:line="300"/>
      </w:pPr>
      <w:r>
        <w:rPr>
          <w:rFonts w:ascii="Arial" w:cs="Arial" w:eastAsia="Arial" w:hAnsi="Arial"/>
          <w:b w:val="false"/>
          <w:bCs w:val="false"/>
          <w:i w:val="false"/>
          <w:iCs w:val="false"/>
          <w:sz w:val="22"/>
          <w:szCs w:val="22"/>
        </w:rPr>
        <w:t xml:space="preserve">The marriage covenant is the canonically-articulated primary case of the broader dyadic-pair-bond architectural territory at P2/GVI. The broader territory includes additional dyadic covenant arrangements whose operational pattern parallels the marriage covenant's architectural-framework function at distinct operational scopes. The present sub-section articulates these related architectural forms per the v5_6_0_12 Q3 working judgment that holds them in the marriage chapter as related dyadic-architectural forms with separate-admission potential preserved for subsequent revisions.</w:t>
      </w:r>
    </w:p>
    <w:p>
      <w:pPr>
        <w:spacing w:after="160" w:line="300"/>
      </w:pPr>
      <w:r>
        <w:rPr>
          <w:rFonts w:ascii="Arial" w:cs="Arial" w:eastAsia="Arial" w:hAnsi="Arial"/>
          <w:b/>
          <w:bCs/>
          <w:i w:val="false"/>
          <w:iCs w:val="false"/>
          <w:sz w:val="22"/>
          <w:szCs w:val="22"/>
        </w:rPr>
        <w:t xml:space="preserve">The close-friendship covenant</w:t>
      </w:r>
      <w:r>
        <w:rPr>
          <w:rFonts w:ascii="Arial" w:cs="Arial" w:eastAsia="Arial" w:hAnsi="Arial"/>
          <w:b w:val="false"/>
          <w:bCs w:val="false"/>
          <w:i w:val="false"/>
          <w:iCs w:val="false"/>
          <w:sz w:val="22"/>
          <w:szCs w:val="22"/>
        </w:rPr>
        <w:t xml:space="preserve"> operates at the Jonathan-David case at 1 Sam. 18:1–4 ("As soon as he had finished speaking to Saul, the soul of Jonathan was knit to the soul of David, and Jonathan loved him as his own soul. … Then Jonathan made a covenant with David, because he loved him as his own soul. And Jonathan stripped himself of the robe that was on him and gave it to David, and his armor, and even his sword and his bow and his belt"); 1 Sam. 20:42 ("Jonathan said to David, 'Go in peace, because we have sworn both of us in the name of the LORD, saying, "The LORD shall be between me and you, and between my offspring and your offspring, forever"'"); 2 Sam. 1:25–26 (David's lament: "your love to me was extraordinary, surpassing the love of women"). The close-friendship covenant operates by structurally analogous architectural-framework function: the covenant's establishment → the architectural framework's operational conditioning of the friendship's operations → the operational consequences for the relationship's continued life. The operational pathway differs from marriage (no sexual-relational unity; no procreative purpose; no household-formation operation), but the architectural-framework function is structurally analogous.</w:t>
      </w:r>
    </w:p>
    <w:p>
      <w:pPr>
        <w:spacing w:after="160" w:line="300"/>
      </w:pPr>
      <w:r>
        <w:rPr>
          <w:rFonts w:ascii="Arial" w:cs="Arial" w:eastAsia="Arial" w:hAnsi="Arial"/>
          <w:b/>
          <w:bCs/>
          <w:i w:val="false"/>
          <w:iCs w:val="false"/>
          <w:sz w:val="22"/>
          <w:szCs w:val="22"/>
        </w:rPr>
        <w:t xml:space="preserve">The discipleship dyad</w:t>
      </w:r>
      <w:r>
        <w:rPr>
          <w:rFonts w:ascii="Arial" w:cs="Arial" w:eastAsia="Arial" w:hAnsi="Arial"/>
          <w:b w:val="false"/>
          <w:bCs w:val="false"/>
          <w:i w:val="false"/>
          <w:iCs w:val="false"/>
          <w:sz w:val="22"/>
          <w:szCs w:val="22"/>
        </w:rPr>
        <w:t xml:space="preserve"> operates across multiple canonical cases. Elijah-Elisha at 1 Kings 19:19–21 and 2 Kings 2:1–14 hold the canonical case at the prophetic level, with the operational features of the spiritual-anointing transmission (FL.XIX territory). Naomi-Ruth at Ruth 1–4 hold the canonical case at the cross-generational mentoring level, with the operational features of inter-cultural-and-cross-generational covenant. Paul-Timothy at 1 Tim. 1:2 ("To Timothy, my true child in the faith") and 2 Tim. 1:5–6 ("the sincere faith that is in you, a faith that dwelt first in your grandmother Lois and your mother Eunice and now, I am sure, dwells in you as well. For this reason I remind you to fan into flame the gift of God, which is in you through the laying on of my hands") hold the canonical case at the apostolic-mentoring level. The discipleship dyad's architectural-framework function operates by structurally analogous principles: the relationship's covenantal establishment → the architectural framework's operational conditioning of the discipleship operations → the operational consequences for the mentee's formation and the mentor's continued ministry.</w:t>
      </w:r>
    </w:p>
    <w:p>
      <w:pPr>
        <w:spacing w:after="160" w:line="300"/>
      </w:pPr>
      <w:r>
        <w:rPr>
          <w:rFonts w:ascii="Arial" w:cs="Arial" w:eastAsia="Arial" w:hAnsi="Arial"/>
          <w:b/>
          <w:bCs/>
          <w:i w:val="false"/>
          <w:iCs w:val="false"/>
          <w:sz w:val="22"/>
          <w:szCs w:val="22"/>
        </w:rPr>
        <w:t xml:space="preserve">The spiritual-direction pair</w:t>
      </w:r>
      <w:r>
        <w:rPr>
          <w:rFonts w:ascii="Arial" w:cs="Arial" w:eastAsia="Arial" w:hAnsi="Arial"/>
          <w:b w:val="false"/>
          <w:bCs w:val="false"/>
          <w:i w:val="false"/>
          <w:iCs w:val="false"/>
          <w:sz w:val="22"/>
          <w:szCs w:val="22"/>
        </w:rPr>
        <w:t xml:space="preserve"> operates in the patristic anam cara tradition, the Eastern Orthodox spiritual-father tradition, the Western contemplative spiritual-direction tradition, the Wesleyan class-meeting partnership tradition, and the modern spiritual-direction recovery. The spiritual-direction pair's architectural-framework function operates by structurally analogous principles to the discipleship dyad with the spiritual-direction-specific operational features (the structured listening; the discernment work; the prayer companionship; the soul-care continuity across time).</w:t>
      </w:r>
    </w:p>
    <w:p>
      <w:pPr>
        <w:spacing w:after="160" w:line="300"/>
      </w:pPr>
      <w:r>
        <w:rPr>
          <w:rFonts w:ascii="Arial" w:cs="Arial" w:eastAsia="Arial" w:hAnsi="Arial"/>
          <w:b w:val="false"/>
          <w:bCs w:val="false"/>
          <w:i w:val="false"/>
          <w:iCs w:val="false"/>
          <w:sz w:val="22"/>
          <w:szCs w:val="22"/>
        </w:rPr>
        <w:t xml:space="preserve">The catalog's articulation in the present chapter does not admit these related architectural forms as separate Foundational Laws. The marriage covenant is the canonically-articulated primary case with the most operationally-developed scriptural witness; the related architectural forms operate by structurally analogous principles within their distinct operational scopes. Subsequent work that surfaces operational distinctness in the non-marriage cases warranting separate Foundational Law admission could be addressed in later revisions; the present articulation preserves the broader dyadic-pair-bond architectural territory's coherence while admitting marriage as the Foundational Law at the dyadic-scale.</w:t>
      </w:r>
    </w:p>
    <w:p>
      <w:pPr>
        <w:pStyle w:val="Heading2"/>
        <w:spacing w:after="160" w:before="240"/>
      </w:pPr>
      <w:r>
        <w:rPr>
          <w:rFonts w:ascii="Arial" w:cs="Arial" w:eastAsia="Arial" w:hAnsi="Arial"/>
          <w:b/>
          <w:bCs/>
          <w:sz w:val="30"/>
          <w:szCs w:val="30"/>
        </w:rPr>
        <w:t xml:space="preserve">Why This Is a Foundational Law</w:t>
      </w:r>
    </w:p>
    <w:p>
      <w:pPr>
        <w:spacing w:after="160" w:line="300"/>
      </w:pPr>
      <w:r>
        <w:rPr>
          <w:rFonts w:ascii="Arial" w:cs="Arial" w:eastAsia="Arial" w:hAnsi="Arial"/>
          <w:b w:val="false"/>
          <w:bCs w:val="false"/>
          <w:i w:val="false"/>
          <w:iCs w:val="false"/>
          <w:sz w:val="22"/>
          <w:szCs w:val="22"/>
        </w:rPr>
        <w:t xml:space="preserve">The law meets all four of the inclusion criteria at exceptional depth. First, multi-author scriptural support is among the strongest in the entire catalog. At least seven distinct biblical authors hold the law substantively (the Genesis writer; Malachi; Matthew and Mark; Paul across multiple letters; the Hebrews writer; Peter; the wisdom writers; the Song of Songs poet; the Hosea writer; John in Revelation), with the operational depth across creation, prophetic, gospel, apostolic, wisdom, narrative, and apocalyptic registers establishing the law's canonical centrality.</w:t>
      </w:r>
    </w:p>
    <w:p>
      <w:pPr>
        <w:spacing w:after="160" w:line="300"/>
      </w:pPr>
      <w:r>
        <w:rPr>
          <w:rFonts w:ascii="Arial" w:cs="Arial" w:eastAsia="Arial" w:hAnsi="Arial"/>
          <w:b w:val="false"/>
          <w:bCs w:val="false"/>
          <w:i w:val="false"/>
          <w:iCs w:val="false"/>
          <w:sz w:val="22"/>
          <w:szCs w:val="22"/>
        </w:rPr>
        <w:t xml:space="preserve">Second, broad acceptance across mainstream Christian traditions is uncontested on the operational form. The Catholic, Orthodox, Reformed, Lutheran, Anglican, Anabaptist, Wesleyan, Pentecostal, and broader evangelical traditions all hold marriage as covenant-monogamy between man and woman with substantially uniform operational articulation (the leave-and-cleave-and-one-flesh pattern; the procreation-and-companionship purposes; the Christ-and-Church reflective dimension at Eph. 5:32; the eschatological orientation toward the marriage supper of the Lamb). Tradition-differences exist on specific operational questions (the divorce-and-remarriage permissibility; the specific liturgical articulation; the sacramental-versus-covenant status of marriage; the contemporary marriage-definition contestation in some traditions and cultural contexts), but the underlying operational form is held with substantially more uniformity than the polity-structure question that FL.XXXIII addresses at Band 3.</w:t>
      </w:r>
    </w:p>
    <w:p>
      <w:pPr>
        <w:spacing w:after="160" w:line="300"/>
      </w:pPr>
      <w:r>
        <w:rPr>
          <w:rFonts w:ascii="Arial" w:cs="Arial" w:eastAsia="Arial" w:hAnsi="Arial"/>
          <w:b w:val="false"/>
          <w:bCs w:val="false"/>
          <w:i w:val="false"/>
          <w:iCs w:val="false"/>
          <w:sz w:val="22"/>
          <w:szCs w:val="22"/>
        </w:rPr>
        <w:t xml:space="preserve">Third, the law is directional in the strict sense. The covenant's establishment → the architectural framework's operational conditioning of the marital dyad's operations → the operational consequences for the marriage's continued life and the inter-generational household formation. The directionality operates across the duration of the covenant.</w:t>
      </w:r>
    </w:p>
    <w:p>
      <w:pPr>
        <w:spacing w:after="160" w:line="300"/>
      </w:pPr>
      <w:r>
        <w:rPr>
          <w:rFonts w:ascii="Arial" w:cs="Arial" w:eastAsia="Arial" w:hAnsi="Arial"/>
          <w:b w:val="false"/>
          <w:bCs w:val="false"/>
          <w:i w:val="false"/>
          <w:iCs w:val="false"/>
          <w:sz w:val="22"/>
          <w:szCs w:val="22"/>
        </w:rPr>
        <w:t xml:space="preserve">Fourth, the law operates at the principle level with Band 2 articulation. The principle (marriage covenant operates as architectural framework) and the scripturally-specified pathway (leave-and-cleave-and-one-flesh per Gen. 2:24 ratified by Matt. 19:5 and Eph. 5:31) are admitted together as the law's articulation. The Band 2 admission is structurally distinct from Band 3 (which leaves operational pathways to tradition-by-tradition determination) — the marriage covenant's operational pathway is scripturally specified rather than tradition-arbitrated, with the same pathway articulated across the canonical witness.</w:t>
      </w:r>
    </w:p>
    <w:p>
      <w:pPr>
        <w:spacing w:after="160" w:line="300"/>
      </w:pPr>
      <w:r>
        <w:rPr>
          <w:rFonts w:ascii="Arial" w:cs="Arial" w:eastAsia="Arial" w:hAnsi="Arial"/>
          <w:b w:val="false"/>
          <w:bCs w:val="false"/>
          <w:i w:val="false"/>
          <w:iCs w:val="false"/>
          <w:sz w:val="22"/>
          <w:szCs w:val="22"/>
        </w:rPr>
        <w:t xml:space="preserve">The law's placement at P2/GVI (Two-or-Three / Structural Frame) is the right one because the operational mechanism is the architectural-framework function at the dyadic-pair-bond scale. The placement closes the P2/GVI under-population — the cell had no Foundational entries prior to the present admission, with the Period 2 row's structural development now extending beyond the existing P2/GV Foundational entries (FL.V Reciprocal Forgiveness, FL.XII Honor-Authority Flourishing) to include the dyadic architectural framework. The Period 2 row's other cells (P2/GI, GII, GIII, GIV) remain under-populated and may be addressed in subsequent revisions if appropriate candidate articulation surfaces.</w:t>
      </w:r>
    </w:p>
    <w:p>
      <w:pPr>
        <w:spacing w:after="160" w:line="300"/>
      </w:pPr>
      <w:r>
        <w:rPr>
          <w:rFonts w:ascii="Arial" w:cs="Arial" w:eastAsia="Arial" w:hAnsi="Arial"/>
          <w:b w:val="false"/>
          <w:bCs w:val="false"/>
          <w:i w:val="false"/>
          <w:iCs w:val="false"/>
          <w:sz w:val="22"/>
          <w:szCs w:val="22"/>
        </w:rPr>
        <w:t xml:space="preserve">The vertical directionality tag (V) names the relational vector. The marriage covenant is divinely-instituted from creation (Gen. 1:27–28, Gen. 2:18–25); the covenant's binding character is grounded in God's joining-together work (Matt. 19:6 "what therefore God has joined together"); the eschatological reflective dimension grounds the covenant's significance in the Christ-and-Church relationship (Eph. 5:32). The vertical-from-God character is operationally primary; the horizontal-dyadic dimensions between the spouses are derivative from the vertical-divine-establishment character.</w:t>
      </w:r>
    </w:p>
    <w:p>
      <w:pPr>
        <w:spacing w:after="160" w:line="300"/>
      </w:pPr>
      <w:r>
        <w:rPr>
          <w:rFonts w:ascii="Arial" w:cs="Arial" w:eastAsia="Arial" w:hAnsi="Arial"/>
          <w:b/>
          <w:bCs/>
          <w:i w:val="false"/>
          <w:iCs w:val="false"/>
          <w:sz w:val="22"/>
          <w:szCs w:val="22"/>
        </w:rPr>
        <w:t xml:space="preserve">Proposed Law: The Marriage Covenant Architecture Law (Band 2). The marriage covenant — instituted at creation, ratified by Jesus's teaching, articulated by Paul as reflecting the Christ-and-Church relationship — operates as the architectural framework conditioning the operations within the marital dyad; the framework's scripturally-specified operational pathway is the leave-and-cleave-and-one-flesh pattern (Gen. 2:24 ratified by Matt. 19:5 and Eph. 5:31), with the operational features of covenant-monogamy between man and woman, exclusivity at the conjugal level, structural durability through divine joining-together, openness to procreation and the household formation operations, and eschatological reflective dimension grounding the dyadic-architectural arrangement in the Christ-and-Church cosmic-eschatological reality.</w:t>
      </w:r>
    </w:p>
    <w:p>
      <w:pPr>
        <w:spacing w:after="160" w:line="300"/>
      </w:pPr>
      <w:r>
        <w:rPr>
          <w:rFonts w:ascii="Arial" w:cs="Arial" w:eastAsia="Arial" w:hAnsi="Arial"/>
          <w:b/>
          <w:bCs/>
          <w:i/>
          <w:iCs/>
          <w:sz w:val="22"/>
          <w:szCs w:val="22"/>
        </w:rPr>
        <w:t xml:space="preserve">Mirror (statement form):</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Marriage Covenant Architecture Law's idol-ward face operates in multiple distinct failure modes that the scriptural witness addresses. The Mal. 2:13–16 failure mode names faithlessness to the covenant partner ("you have been faithless … the man who does not love his wife but divorces her covers his garment with violence"). The Matt. 19:8 failure mode names the hardness-of-heart that produces the divorce dynamic (the Mosaic Deuteronomic divorce provision as accommodation to hardness-of-heart rather than the covenant's normative operational form). The Heb. 13:4 failure mode names the defilement of the marriage bed through sexual-relational operations outside the covenant ("God will judge the sexually immoral and adulterous"). The FL.III Heart-Throne and FL.XIV Vanity-of-Substitutes failure mode operates at the marriage-as-idol distortion — the marriage relationship enthroned as the structuring center of formation rather than the God-relationship producing the structural emptiness the substitute-for-God enthronement guarantees. The contemporary marriage-form contestation in some traditions and cultural contexts operates at the institutional-redefinition failure mode — the marriage covenant's scripturally-specified operational pathway (the leave-and-cleave-and-one-flesh pattern between man and woman) being modified to other arrangements that operate as different relationship-forms rather than as the marriage covenant the law admits. The catalog's articulation holds the scripturally-articulated marriage covenant as the operational form the law admits; the catalog does not adjudicate on the contemporary contestation but articulates the scriptural-canonical operational form as the Foundational Law's content. Recovery of the law's positive operation requires the covenant's restoration in its scripturally-articulated form at each of the failure-mode levels the law addresses — the faithfulness restoration, the hardness-of-heart healing, the marriage bed's purity, the proper God-orientation displacing the marriage-as-idol pattern, and the covenant's scriptural-form preservation across the contemporary cultural pressures.</w:t>
      </w:r>
    </w:p>
    <w:p>
      <w:pPr>
        <w:spacing w:after="160" w:line="300"/>
      </w:pPr>
      <w:r>
        <w:rPr>
          <w:rFonts w:ascii="Arial" w:cs="Arial" w:eastAsia="Arial" w:hAnsi="Arial"/>
          <w:b/>
          <w:bCs/>
          <w:i/>
          <w:iCs/>
          <w:sz w:val="22"/>
          <w:szCs w:val="22"/>
        </w:rPr>
        <w:t xml:space="preserve">Certainty: Clearly Taught.</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Seven-or-more-biblical-author cross-Testament support exceeding the catalog's minimum threshold by substantial margin (Genesis writer; Malachi; Matthew and Mark; Paul across multiple letters; Hebrews writer; Peter; wisdom writers; Song of Songs poet; Hosea writer; John in Revelation), with operational depth across creation, prophetic, gospel, apostolic, wisdom, narrative, and apocalyptic registers. Substantial broad acceptance across mainstream Christian traditions on operational form (tradition-differences on specific operational questions but the underlying covenant-monogamy-between-man-and-woman form held with substantial uniformity). Directional structure clear. Principle-level operation at Band 2 (principle with scripturally-specified pathway as part of the principle's articulation, structurally distinct from Band 3's tradition-by-tradition operational forms).</w:t>
      </w:r>
    </w:p>
    <w:p>
      <w:pPr>
        <w:spacing w:after="160" w:line="300"/>
      </w:pPr>
      <w:r>
        <w:rPr>
          <w:rFonts w:ascii="Arial" w:cs="Arial" w:eastAsia="Arial" w:hAnsi="Arial"/>
          <w:b w:val="false"/>
          <w:bCs w:val="false"/>
          <w:i w:val="false"/>
          <w:iCs w:val="false"/>
          <w:sz w:val="22"/>
          <w:szCs w:val="22"/>
        </w:rPr>
        <w:t xml:space="preserve">This is Foundational Law XXXIV — the operational law of wide consent that names the marriage covenant's architectural-framework function at the dyadic-pair-bond scale, admitted at Band 2 with the leave-and-cleave-and-one-flesh pathway as scripturally specified within the principle's articulation. The broader dyadic-pair-bond architectural territory (close-friendship covenant; discipleship dyad; spiritual-direction pair) is articulated within the chapter as related architectural forms with separate-admission potential preserved for subsequent revisions. The Period 2 row's structural development now extends to Group VI alongside the existing Group V entries. The next revision per the v5_6_0_12 Q4 ratification is anticipated to address Period 5 cosmic-eschatological territories at v5_6_0_14, with candidates including Heavenly Worship Architecture, Suffering-as-Formation Cosmic Companion, apocalyptic-imagination material, and eschatological-people-of-God scale.</w:t>
      </w:r>
    </w:p>
    <w:p>
      <w:r>
        <w:br w:type="page"/>
      </w:r>
    </w:p>
    <w:p>
      <w:pPr>
        <w:pStyle w:val="Heading1"/>
        <w:spacing w:after="240" w:before="360"/>
      </w:pPr>
      <w:r>
        <w:rPr>
          <w:rFonts w:ascii="Arial" w:cs="Arial" w:eastAsia="Arial" w:hAnsi="Arial"/>
          <w:b/>
          <w:bCs/>
          <w:sz w:val="36"/>
          <w:szCs w:val="36"/>
        </w:rPr>
        <w:t xml:space="preserve">Section B · Vol 1 Overview Chapter v5_6_0_27</w:t>
      </w:r>
    </w:p>
    <w:p>
      <w:pPr>
        <w:spacing w:after="160" w:line="300"/>
      </w:pPr>
      <w:r>
        <w:rPr>
          <w:rFonts w:ascii="Arial" w:cs="Arial" w:eastAsia="Arial" w:hAnsi="Arial"/>
          <w:b w:val="false"/>
          <w:bCs w:val="false"/>
          <w:i w:val="false"/>
          <w:iCs w:val="false"/>
          <w:sz w:val="22"/>
          <w:szCs w:val="22"/>
        </w:rPr>
        <w:t xml:space="preserve">The Vol 1 overview chapter is updated to v5_6_0_27 with the title moving from "Thirty-Three" to "Thirty-Four Operational Laws." The complete revised chapter follows.</w:t>
      </w:r>
    </w:p>
    <w:p>
      <w:r>
        <w:br w:type="page"/>
      </w:r>
    </w:p>
    <w:p>
      <w:pPr>
        <w:pStyle w:val="Heading1"/>
        <w:spacing w:after="240" w:before="360"/>
      </w:pPr>
      <w:r>
        <w:rPr>
          <w:rFonts w:ascii="Arial" w:cs="Arial" w:eastAsia="Arial" w:hAnsi="Arial"/>
          <w:b/>
          <w:bCs/>
          <w:sz w:val="36"/>
          <w:szCs w:val="36"/>
        </w:rPr>
        <w:t xml:space="preserve">Foundational Laws: Thirty-Four Operational Laws of Wide Consent</w:t>
      </w:r>
    </w:p>
    <w:p>
      <w:pPr>
        <w:spacing w:after="160" w:line="300"/>
      </w:pPr>
      <w:r>
        <w:rPr>
          <w:rFonts w:ascii="Arial" w:cs="Arial" w:eastAsia="Arial" w:hAnsi="Arial"/>
          <w:b w:val="false"/>
          <w:bCs w:val="false"/>
          <w:i w:val="false"/>
          <w:iCs w:val="false"/>
          <w:sz w:val="22"/>
          <w:szCs w:val="22"/>
        </w:rPr>
        <w:t xml:space="preserve">Before I begin the personal explorations that make up the body of this volume, I want to set out thirty-four operational laws that are already broadly accepted across mainstream Christian tradition. These are not my discoveries. They are the floor I am building on.</w:t>
      </w:r>
    </w:p>
    <w:p>
      <w:pPr>
        <w:spacing w:after="160" w:line="300"/>
      </w:pPr>
      <w:r>
        <w:rPr>
          <w:rFonts w:ascii="Arial" w:cs="Arial" w:eastAsia="Arial" w:hAnsi="Arial"/>
          <w:b w:val="false"/>
          <w:bCs w:val="false"/>
          <w:i w:val="false"/>
          <w:iCs w:val="false"/>
          <w:sz w:val="22"/>
          <w:szCs w:val="22"/>
        </w:rPr>
        <w:t xml:space="preserve">The Explorations that follow this section are my own investigations into territory I have found less well mapped. Those are propositional claims in the Reasonably Inferred to Clearly Taught tiers. They need testing. The community has not yet weighed in.</w:t>
      </w:r>
    </w:p>
    <w:p>
      <w:pPr>
        <w:spacing w:after="160" w:line="300"/>
      </w:pPr>
      <w:r>
        <w:rPr>
          <w:rFonts w:ascii="Arial" w:cs="Arial" w:eastAsia="Arial" w:hAnsi="Arial"/>
          <w:b w:val="false"/>
          <w:bCs w:val="false"/>
          <w:i w:val="false"/>
          <w:iCs w:val="false"/>
          <w:sz w:val="22"/>
          <w:szCs w:val="22"/>
        </w:rPr>
        <w:t xml:space="preserve">But these thirty-four are different. Each one has been recognized as foundational across nearly the entire breadth of Christian thought — from the patristic period through the medieval doctors, through the magisterial Reformation, through the modern theological recovery, and into contemporary pastoral practice. They are the operational grammar within which the church's various traditions hold their disagreements about other matters.</w:t>
      </w:r>
    </w:p>
    <w:p>
      <w:pPr>
        <w:spacing w:after="160" w:line="300"/>
      </w:pPr>
      <w:r>
        <w:rPr>
          <w:rFonts w:ascii="Arial" w:cs="Arial" w:eastAsia="Arial" w:hAnsi="Arial"/>
          <w:b w:val="false"/>
          <w:bCs w:val="false"/>
          <w:i w:val="false"/>
          <w:iCs w:val="false"/>
          <w:sz w:val="22"/>
          <w:szCs w:val="22"/>
        </w:rPr>
        <w:t xml:space="preserve">I will state each one in a single sentence. The single-sentence statement is deliberate: it forces the law into its most operational form, the form in which the cause-and-effect relationship is plainly named and the principle-level operation is plainly visible.</w:t>
      </w:r>
    </w:p>
    <w:p>
      <w:pPr>
        <w:pStyle w:val="Heading2"/>
        <w:spacing w:after="160" w:before="240"/>
      </w:pPr>
      <w:r>
        <w:rPr>
          <w:rFonts w:ascii="Arial" w:cs="Arial" w:eastAsia="Arial" w:hAnsi="Arial"/>
          <w:b/>
          <w:bCs/>
          <w:sz w:val="30"/>
          <w:szCs w:val="30"/>
        </w:rPr>
        <w:t xml:space="preserve">The Inclusion Bar</w:t>
      </w:r>
    </w:p>
    <w:p>
      <w:pPr>
        <w:spacing w:after="160" w:line="300"/>
      </w:pPr>
      <w:r>
        <w:rPr>
          <w:rFonts w:ascii="Arial" w:cs="Arial" w:eastAsia="Arial" w:hAnsi="Arial"/>
          <w:b w:val="false"/>
          <w:bCs w:val="false"/>
          <w:i w:val="false"/>
          <w:iCs w:val="false"/>
          <w:sz w:val="22"/>
          <w:szCs w:val="22"/>
        </w:rPr>
        <w:t xml:space="preserve">A law qualifies as Foundational only if it clears four criteria. First, </w:t>
      </w:r>
      <w:r>
        <w:rPr>
          <w:rFonts w:ascii="Arial" w:cs="Arial" w:eastAsia="Arial" w:hAnsi="Arial"/>
          <w:b w:val="false"/>
          <w:bCs w:val="false"/>
          <w:i/>
          <w:iCs/>
          <w:sz w:val="22"/>
          <w:szCs w:val="22"/>
        </w:rPr>
        <w:t xml:space="preserve">multi-author scriptural support</w:t>
      </w:r>
      <w:r>
        <w:rPr>
          <w:rFonts w:ascii="Arial" w:cs="Arial" w:eastAsia="Arial" w:hAnsi="Arial"/>
          <w:b w:val="false"/>
          <w:bCs w:val="false"/>
          <w:i w:val="false"/>
          <w:iCs w:val="false"/>
          <w:sz w:val="22"/>
          <w:szCs w:val="22"/>
        </w:rPr>
        <w:t xml:space="preserve"> — the cause-and-effect relationship stated or strongly implied across multiple scriptures from at least two different biblical authors. Second, </w:t>
      </w:r>
      <w:r>
        <w:rPr>
          <w:rFonts w:ascii="Arial" w:cs="Arial" w:eastAsia="Arial" w:hAnsi="Arial"/>
          <w:b w:val="false"/>
          <w:bCs w:val="false"/>
          <w:i/>
          <w:iCs/>
          <w:sz w:val="22"/>
          <w:szCs w:val="22"/>
        </w:rPr>
        <w:t xml:space="preserve">broad acceptance</w:t>
      </w:r>
      <w:r>
        <w:rPr>
          <w:rFonts w:ascii="Arial" w:cs="Arial" w:eastAsia="Arial" w:hAnsi="Arial"/>
          <w:b w:val="false"/>
          <w:bCs w:val="false"/>
          <w:i w:val="false"/>
          <w:iCs w:val="false"/>
          <w:sz w:val="22"/>
          <w:szCs w:val="22"/>
        </w:rPr>
        <w:t xml:space="preserve"> — generally affirmed across mainstream Christian traditions, not contested doctrine. Third, </w:t>
      </w:r>
      <w:r>
        <w:rPr>
          <w:rFonts w:ascii="Arial" w:cs="Arial" w:eastAsia="Arial" w:hAnsi="Arial"/>
          <w:b w:val="false"/>
          <w:bCs w:val="false"/>
          <w:i/>
          <w:iCs/>
          <w:sz w:val="22"/>
          <w:szCs w:val="22"/>
        </w:rPr>
        <w:t xml:space="preserve">directionality</w:t>
      </w:r>
      <w:r>
        <w:rPr>
          <w:rFonts w:ascii="Arial" w:cs="Arial" w:eastAsia="Arial" w:hAnsi="Arial"/>
          <w:b w:val="false"/>
          <w:bCs w:val="false"/>
          <w:i w:val="false"/>
          <w:iCs w:val="false"/>
          <w:sz w:val="22"/>
          <w:szCs w:val="22"/>
        </w:rPr>
        <w:t xml:space="preserve"> — explicitly causal or conditional, not merely descriptive. Fourth, </w:t>
      </w:r>
      <w:r>
        <w:rPr>
          <w:rFonts w:ascii="Arial" w:cs="Arial" w:eastAsia="Arial" w:hAnsi="Arial"/>
          <w:b w:val="false"/>
          <w:bCs w:val="false"/>
          <w:i/>
          <w:iCs/>
          <w:sz w:val="22"/>
          <w:szCs w:val="22"/>
        </w:rPr>
        <w:t xml:space="preserve">principle-level</w:t>
      </w:r>
      <w:r>
        <w:rPr>
          <w:rFonts w:ascii="Arial" w:cs="Arial" w:eastAsia="Arial" w:hAnsi="Arial"/>
          <w:b w:val="false"/>
          <w:bCs w:val="false"/>
          <w:i w:val="false"/>
          <w:iCs w:val="false"/>
          <w:sz w:val="22"/>
          <w:szCs w:val="22"/>
        </w:rPr>
        <w:t xml:space="preserve"> — operating at the level of a governing principle rather than a specific situational instruction, with band-of-closeness articulation (Band 1 clearly-distinguishable principle; Band 2 principle-with-scripturally-specified-pathway; Band 3 principle-with-tradition-by-tradition-operational-forms) addressing the principle-vs-command edge cases.</w:t>
      </w:r>
    </w:p>
    <w:p>
      <w:pPr>
        <w:spacing w:after="160" w:line="300"/>
      </w:pPr>
      <w:r>
        <w:rPr>
          <w:rFonts w:ascii="Arial" w:cs="Arial" w:eastAsia="Arial" w:hAnsi="Arial"/>
          <w:b w:val="false"/>
          <w:bCs w:val="false"/>
          <w:i w:val="false"/>
          <w:iCs w:val="false"/>
          <w:sz w:val="22"/>
          <w:szCs w:val="22"/>
        </w:rPr>
        <w:t xml:space="preserve">The catalog's Group designations (Spirit, Heart, Soul, Mind &amp; Will, Body &amp; Action, Structural Frame) are scripturally grounded at both the individual and corporate scales. The corporate-scale grounding is held in the Vol 5 Periodic Table chapter's body-of-Christ master-frame sub-section at v5_6_0_11. The Group designations operate consistently across the catalog's full scale range.</w:t>
      </w:r>
    </w:p>
    <w:p>
      <w:pPr>
        <w:pStyle w:val="Heading2"/>
        <w:spacing w:after="160" w:before="240"/>
      </w:pPr>
      <w:r>
        <w:rPr>
          <w:rFonts w:ascii="Arial" w:cs="Arial" w:eastAsia="Arial" w:hAnsi="Arial"/>
          <w:b/>
          <w:bCs/>
          <w:sz w:val="30"/>
          <w:szCs w:val="30"/>
        </w:rPr>
        <w:t xml:space="preserve">The Thirty-Four Laws</w:t>
      </w:r>
    </w:p>
    <w:p>
      <w:pPr>
        <w:spacing w:after="160" w:line="300"/>
      </w:pPr>
      <w:r>
        <w:rPr>
          <w:rFonts w:ascii="Arial" w:cs="Arial" w:eastAsia="Arial" w:hAnsi="Arial"/>
          <w:b w:val="false"/>
          <w:bCs w:val="false"/>
          <w:i w:val="false"/>
          <w:iCs w:val="false"/>
          <w:sz w:val="22"/>
          <w:szCs w:val="22"/>
        </w:rPr>
        <w:t xml:space="preserve">The thirty-four Foundational Laws are summarized below in numerical order, with the Period/Group placement, the directionality tag, and the single-sentence operational statement. Each law has its own chapter in this volume.</w:t>
      </w:r>
    </w:p>
    <w:p>
      <w:pPr>
        <w:spacing w:after="160" w:line="300"/>
      </w:pPr>
      <w:r>
        <w:rPr>
          <w:rFonts w:ascii="Arial" w:cs="Arial" w:eastAsia="Arial" w:hAnsi="Arial"/>
          <w:b/>
          <w:bCs/>
          <w:i w:val="false"/>
          <w:iCs w:val="false"/>
          <w:sz w:val="22"/>
          <w:szCs w:val="22"/>
        </w:rPr>
        <w:t xml:space="preserve">FL.I — The Sowing-and-Reaping Law (P0/GV, V).</w:t>
      </w:r>
      <w:r>
        <w:rPr>
          <w:rFonts w:ascii="Arial" w:cs="Arial" w:eastAsia="Arial" w:hAnsi="Arial"/>
          <w:b w:val="false"/>
          <w:bCs w:val="false"/>
          <w:i w:val="false"/>
          <w:iCs w:val="false"/>
          <w:sz w:val="22"/>
          <w:szCs w:val="22"/>
        </w:rPr>
        <w:t xml:space="preserve"> What is sown is what is reaped (Gal. 6:7–9; Hos. 10:12; 2 Cor. 9:6).</w:t>
      </w:r>
    </w:p>
    <w:p>
      <w:pPr>
        <w:spacing w:after="160" w:line="300"/>
      </w:pPr>
      <w:r>
        <w:rPr>
          <w:rFonts w:ascii="Arial" w:cs="Arial" w:eastAsia="Arial" w:hAnsi="Arial"/>
          <w:b/>
          <w:bCs/>
          <w:i w:val="false"/>
          <w:iCs w:val="false"/>
          <w:sz w:val="22"/>
          <w:szCs w:val="22"/>
        </w:rPr>
        <w:t xml:space="preserve">FL.II — The Confession-Restoration Law (P1/GV, V).</w:t>
      </w:r>
      <w:r>
        <w:rPr>
          <w:rFonts w:ascii="Arial" w:cs="Arial" w:eastAsia="Arial" w:hAnsi="Arial"/>
          <w:b w:val="false"/>
          <w:bCs w:val="false"/>
          <w:i w:val="false"/>
          <w:iCs w:val="false"/>
          <w:sz w:val="22"/>
          <w:szCs w:val="22"/>
        </w:rPr>
        <w:t xml:space="preserve"> Spoken confession of sin to God produces forgiveness; concealment produces compounding interior load (1 John 1:9; Prov. 28:13; Ps. 32:3–5).</w:t>
      </w:r>
    </w:p>
    <w:p>
      <w:pPr>
        <w:spacing w:after="160" w:line="300"/>
      </w:pPr>
      <w:r>
        <w:rPr>
          <w:rFonts w:ascii="Arial" w:cs="Arial" w:eastAsia="Arial" w:hAnsi="Arial"/>
          <w:b/>
          <w:bCs/>
          <w:i w:val="false"/>
          <w:iCs w:val="false"/>
          <w:sz w:val="22"/>
          <w:szCs w:val="22"/>
        </w:rPr>
        <w:t xml:space="preserve">FL.III — The Heart-Throne Law (P1/GII, B).</w:t>
      </w:r>
      <w:r>
        <w:rPr>
          <w:rFonts w:ascii="Arial" w:cs="Arial" w:eastAsia="Arial" w:hAnsi="Arial"/>
          <w:b w:val="false"/>
          <w:bCs w:val="false"/>
          <w:i w:val="false"/>
          <w:iCs w:val="false"/>
          <w:sz w:val="22"/>
          <w:szCs w:val="22"/>
        </w:rPr>
        <w:t xml:space="preserve"> What the heart enthrones becomes the structuring center of formation (Matt. 6:21, 6:24; Exod. 20:3).</w:t>
      </w:r>
    </w:p>
    <w:p>
      <w:pPr>
        <w:spacing w:after="160" w:line="300"/>
      </w:pPr>
      <w:r>
        <w:rPr>
          <w:rFonts w:ascii="Arial" w:cs="Arial" w:eastAsia="Arial" w:hAnsi="Arial"/>
          <w:b/>
          <w:bCs/>
          <w:i w:val="false"/>
          <w:iCs w:val="false"/>
          <w:sz w:val="22"/>
          <w:szCs w:val="22"/>
        </w:rPr>
        <w:t xml:space="preserve">FL.IV — The Humility-Exaltation Law (P1/GIII, B).</w:t>
      </w:r>
      <w:r>
        <w:rPr>
          <w:rFonts w:ascii="Arial" w:cs="Arial" w:eastAsia="Arial" w:hAnsi="Arial"/>
          <w:b w:val="false"/>
          <w:bCs w:val="false"/>
          <w:i w:val="false"/>
          <w:iCs w:val="false"/>
          <w:sz w:val="22"/>
          <w:szCs w:val="22"/>
        </w:rPr>
        <w:t xml:space="preserve"> Humbling before God precedes exaltation; self-exaltation precedes humbling (Jas. 4:10; 1 Pet. 5:6; Luke 14:11; Prov. 3:34).</w:t>
      </w:r>
    </w:p>
    <w:p>
      <w:pPr>
        <w:spacing w:after="160" w:line="300"/>
      </w:pPr>
      <w:r>
        <w:rPr>
          <w:rFonts w:ascii="Arial" w:cs="Arial" w:eastAsia="Arial" w:hAnsi="Arial"/>
          <w:b/>
          <w:bCs/>
          <w:i w:val="false"/>
          <w:iCs w:val="false"/>
          <w:sz w:val="22"/>
          <w:szCs w:val="22"/>
        </w:rPr>
        <w:t xml:space="preserve">FL.V — The Reciprocal Forgiveness Law (P2/GV, H).</w:t>
      </w:r>
      <w:r>
        <w:rPr>
          <w:rFonts w:ascii="Arial" w:cs="Arial" w:eastAsia="Arial" w:hAnsi="Arial"/>
          <w:b w:val="false"/>
          <w:bCs w:val="false"/>
          <w:i w:val="false"/>
          <w:iCs w:val="false"/>
          <w:sz w:val="22"/>
          <w:szCs w:val="22"/>
        </w:rPr>
        <w:t xml:space="preserve"> Forgiveness extended to others is the condition for forgiveness received from God (Matt. 6:14–15; Matt. 18:21–35; Mark 11:25).</w:t>
      </w:r>
    </w:p>
    <w:p>
      <w:pPr>
        <w:spacing w:after="160" w:line="300"/>
      </w:pPr>
      <w:r>
        <w:rPr>
          <w:rFonts w:ascii="Arial" w:cs="Arial" w:eastAsia="Arial" w:hAnsi="Arial"/>
          <w:b/>
          <w:bCs/>
          <w:i w:val="false"/>
          <w:iCs w:val="false"/>
          <w:sz w:val="22"/>
          <w:szCs w:val="22"/>
        </w:rPr>
        <w:t xml:space="preserve">FL.VI — The Hear-and-Obey Law (P0/GV, V).</w:t>
      </w:r>
      <w:r>
        <w:rPr>
          <w:rFonts w:ascii="Arial" w:cs="Arial" w:eastAsia="Arial" w:hAnsi="Arial"/>
          <w:b w:val="false"/>
          <w:bCs w:val="false"/>
          <w:i w:val="false"/>
          <w:iCs w:val="false"/>
          <w:sz w:val="22"/>
          <w:szCs w:val="22"/>
        </w:rPr>
        <w:t xml:space="preserve"> Hearing the word produces operational benefit only where the hearing issues in doing (Jas. 1:22–25; Matt. 7:24–27; Luke 11:28).</w:t>
      </w:r>
    </w:p>
    <w:p>
      <w:pPr>
        <w:spacing w:after="160" w:line="300"/>
      </w:pPr>
      <w:r>
        <w:rPr>
          <w:rFonts w:ascii="Arial" w:cs="Arial" w:eastAsia="Arial" w:hAnsi="Arial"/>
          <w:b/>
          <w:bCs/>
          <w:i w:val="false"/>
          <w:iCs w:val="false"/>
          <w:sz w:val="22"/>
          <w:szCs w:val="22"/>
        </w:rPr>
        <w:t xml:space="preserve">FL.VII — The Drawing-Near Reciprocity Law (P1/GI, B).</w:t>
      </w:r>
      <w:r>
        <w:rPr>
          <w:rFonts w:ascii="Arial" w:cs="Arial" w:eastAsia="Arial" w:hAnsi="Arial"/>
          <w:b w:val="false"/>
          <w:bCs w:val="false"/>
          <w:i w:val="false"/>
          <w:iCs w:val="false"/>
          <w:sz w:val="22"/>
          <w:szCs w:val="22"/>
        </w:rPr>
        <w:t xml:space="preserve"> Drawing near to God produces God's drawing near (Jas. 4:8; Heb. 10:22; Zech. 1:3).</w:t>
      </w:r>
    </w:p>
    <w:p>
      <w:pPr>
        <w:spacing w:after="160" w:line="300"/>
      </w:pPr>
      <w:r>
        <w:rPr>
          <w:rFonts w:ascii="Arial" w:cs="Arial" w:eastAsia="Arial" w:hAnsi="Arial"/>
          <w:b/>
          <w:bCs/>
          <w:i w:val="false"/>
          <w:iCs w:val="false"/>
          <w:sz w:val="22"/>
          <w:szCs w:val="22"/>
        </w:rPr>
        <w:t xml:space="preserve">FL.VIII — The Desire-for-God Law (P1/GII, V).</w:t>
      </w:r>
      <w:r>
        <w:rPr>
          <w:rFonts w:ascii="Arial" w:cs="Arial" w:eastAsia="Arial" w:hAnsi="Arial"/>
          <w:b w:val="false"/>
          <w:bCs w:val="false"/>
          <w:i w:val="false"/>
          <w:iCs w:val="false"/>
          <w:sz w:val="22"/>
          <w:szCs w:val="22"/>
        </w:rPr>
        <w:t xml:space="preserve"> Sustained desire for God produces increased capacity to receive God (Ps. 42:1–2; Ps. 63:1; Matt. 5:6).</w:t>
      </w:r>
    </w:p>
    <w:p>
      <w:pPr>
        <w:spacing w:after="160" w:line="300"/>
      </w:pPr>
      <w:r>
        <w:rPr>
          <w:rFonts w:ascii="Arial" w:cs="Arial" w:eastAsia="Arial" w:hAnsi="Arial"/>
          <w:b/>
          <w:bCs/>
          <w:i w:val="false"/>
          <w:iCs w:val="false"/>
          <w:sz w:val="22"/>
          <w:szCs w:val="22"/>
        </w:rPr>
        <w:t xml:space="preserve">FL.IX — The Generosity-Provision Law (P1/GV, V).</w:t>
      </w:r>
      <w:r>
        <w:rPr>
          <w:rFonts w:ascii="Arial" w:cs="Arial" w:eastAsia="Arial" w:hAnsi="Arial"/>
          <w:b w:val="false"/>
          <w:bCs w:val="false"/>
          <w:i w:val="false"/>
          <w:iCs w:val="false"/>
          <w:sz w:val="22"/>
          <w:szCs w:val="22"/>
        </w:rPr>
        <w:t xml:space="preserve"> Generosity produces proportional provision; stinginess produces proportional withholding (Luke 6:38; 2 Cor. 9:6–11; Prov. 11:24–25).</w:t>
      </w:r>
    </w:p>
    <w:p>
      <w:pPr>
        <w:spacing w:after="160" w:line="300"/>
      </w:pPr>
      <w:r>
        <w:rPr>
          <w:rFonts w:ascii="Arial" w:cs="Arial" w:eastAsia="Arial" w:hAnsi="Arial"/>
          <w:b/>
          <w:bCs/>
          <w:i w:val="false"/>
          <w:iCs w:val="false"/>
          <w:sz w:val="22"/>
          <w:szCs w:val="22"/>
        </w:rPr>
        <w:t xml:space="preserve">FL.X — The Faith-Sight Law (P0/GIV, V).</w:t>
      </w:r>
      <w:r>
        <w:rPr>
          <w:rFonts w:ascii="Arial" w:cs="Arial" w:eastAsia="Arial" w:hAnsi="Arial"/>
          <w:b w:val="false"/>
          <w:bCs w:val="false"/>
          <w:i w:val="false"/>
          <w:iCs w:val="false"/>
          <w:sz w:val="22"/>
          <w:szCs w:val="22"/>
        </w:rPr>
        <w:t xml:space="preserve"> Faith is the operational substance of things hoped for, evidence of things unseen (Heb. 11:1, 6; 2 Cor. 5:7; Rom. 1:17).</w:t>
      </w:r>
    </w:p>
    <w:p>
      <w:pPr>
        <w:spacing w:after="160" w:line="300"/>
      </w:pPr>
      <w:r>
        <w:rPr>
          <w:rFonts w:ascii="Arial" w:cs="Arial" w:eastAsia="Arial" w:hAnsi="Arial"/>
          <w:b/>
          <w:bCs/>
          <w:i w:val="false"/>
          <w:iCs w:val="false"/>
          <w:sz w:val="22"/>
          <w:szCs w:val="22"/>
        </w:rPr>
        <w:t xml:space="preserve">FL.XI — The Renewal-of-Mind Transformation Law (P1/GIV, V).</w:t>
      </w:r>
      <w:r>
        <w:rPr>
          <w:rFonts w:ascii="Arial" w:cs="Arial" w:eastAsia="Arial" w:hAnsi="Arial"/>
          <w:b w:val="false"/>
          <w:bCs w:val="false"/>
          <w:i w:val="false"/>
          <w:iCs w:val="false"/>
          <w:sz w:val="22"/>
          <w:szCs w:val="22"/>
        </w:rPr>
        <w:t xml:space="preserve"> Renewal of the mind produces transformation of pattern-of-life (Rom. 12:2; Eph. 4:23; Col. 3:10).</w:t>
      </w:r>
    </w:p>
    <w:p>
      <w:pPr>
        <w:spacing w:after="160" w:line="300"/>
      </w:pPr>
      <w:r>
        <w:rPr>
          <w:rFonts w:ascii="Arial" w:cs="Arial" w:eastAsia="Arial" w:hAnsi="Arial"/>
          <w:b/>
          <w:bCs/>
          <w:i w:val="false"/>
          <w:iCs w:val="false"/>
          <w:sz w:val="22"/>
          <w:szCs w:val="22"/>
        </w:rPr>
        <w:t xml:space="preserve">FL.XII — The Honor-Authority Flourishing Law (P2/GV, H).</w:t>
      </w:r>
      <w:r>
        <w:rPr>
          <w:rFonts w:ascii="Arial" w:cs="Arial" w:eastAsia="Arial" w:hAnsi="Arial"/>
          <w:b w:val="false"/>
          <w:bCs w:val="false"/>
          <w:i w:val="false"/>
          <w:iCs w:val="false"/>
          <w:sz w:val="22"/>
          <w:szCs w:val="22"/>
        </w:rPr>
        <w:t xml:space="preserve"> Honor of legitimate authority produces flourishing in the relational unit (Exod. 20:12; Eph. 6:1–3; Rom. 13:1–7).</w:t>
      </w:r>
    </w:p>
    <w:p>
      <w:pPr>
        <w:spacing w:after="160" w:line="300"/>
      </w:pPr>
      <w:r>
        <w:rPr>
          <w:rFonts w:ascii="Arial" w:cs="Arial" w:eastAsia="Arial" w:hAnsi="Arial"/>
          <w:b/>
          <w:bCs/>
          <w:i w:val="false"/>
          <w:iCs w:val="false"/>
          <w:sz w:val="22"/>
          <w:szCs w:val="22"/>
        </w:rPr>
        <w:t xml:space="preserve">FL.XIII — The Pure-Heart Vision Law (P1/GII, B).</w:t>
      </w:r>
      <w:r>
        <w:rPr>
          <w:rFonts w:ascii="Arial" w:cs="Arial" w:eastAsia="Arial" w:hAnsi="Arial"/>
          <w:b w:val="false"/>
          <w:bCs w:val="false"/>
          <w:i w:val="false"/>
          <w:iCs w:val="false"/>
          <w:sz w:val="22"/>
          <w:szCs w:val="22"/>
        </w:rPr>
        <w:t xml:space="preserve"> Purity of heart produces operational seeing of God (Matt. 5:8; Ps. 24:3–4; 2 Tim. 2:21–22).</w:t>
      </w:r>
    </w:p>
    <w:p>
      <w:pPr>
        <w:spacing w:after="160" w:line="300"/>
      </w:pPr>
      <w:r>
        <w:rPr>
          <w:rFonts w:ascii="Arial" w:cs="Arial" w:eastAsia="Arial" w:hAnsi="Arial"/>
          <w:b/>
          <w:bCs/>
          <w:i w:val="false"/>
          <w:iCs w:val="false"/>
          <w:sz w:val="22"/>
          <w:szCs w:val="22"/>
        </w:rPr>
        <w:t xml:space="preserve">FL.XIV — The Vanity-of-Substitutes Law (P1/GII, B).</w:t>
      </w:r>
      <w:r>
        <w:rPr>
          <w:rFonts w:ascii="Arial" w:cs="Arial" w:eastAsia="Arial" w:hAnsi="Arial"/>
          <w:b w:val="false"/>
          <w:bCs w:val="false"/>
          <w:i w:val="false"/>
          <w:iCs w:val="false"/>
          <w:sz w:val="22"/>
          <w:szCs w:val="22"/>
        </w:rPr>
        <w:t xml:space="preserve"> Substitutes for God produce the structural emptiness their idol-status guarantees (Eccl. 1:2; Jer. 2:13; Ps. 115:4–8).</w:t>
      </w:r>
    </w:p>
    <w:p>
      <w:pPr>
        <w:spacing w:after="160" w:line="300"/>
      </w:pPr>
      <w:r>
        <w:rPr>
          <w:rFonts w:ascii="Arial" w:cs="Arial" w:eastAsia="Arial" w:hAnsi="Arial"/>
          <w:b/>
          <w:bCs/>
          <w:i w:val="false"/>
          <w:iCs w:val="false"/>
          <w:sz w:val="22"/>
          <w:szCs w:val="22"/>
        </w:rPr>
        <w:t xml:space="preserve">FL.XV — The Hardening Law (P0/GI, V).</w:t>
      </w:r>
      <w:r>
        <w:rPr>
          <w:rFonts w:ascii="Arial" w:cs="Arial" w:eastAsia="Arial" w:hAnsi="Arial"/>
          <w:b w:val="false"/>
          <w:bCs w:val="false"/>
          <w:i w:val="false"/>
          <w:iCs w:val="false"/>
          <w:sz w:val="22"/>
          <w:szCs w:val="22"/>
        </w:rPr>
        <w:t xml:space="preserve"> Sustained refusal of God's address produces the heart's operational hardening (Heb. 3:7–15; Rom. 1:18–28; Pharaoh narrative).</w:t>
      </w:r>
    </w:p>
    <w:p>
      <w:pPr>
        <w:spacing w:after="160" w:line="300"/>
      </w:pPr>
      <w:r>
        <w:rPr>
          <w:rFonts w:ascii="Arial" w:cs="Arial" w:eastAsia="Arial" w:hAnsi="Arial"/>
          <w:b/>
          <w:bCs/>
          <w:i w:val="false"/>
          <w:iCs w:val="false"/>
          <w:sz w:val="22"/>
          <w:szCs w:val="22"/>
        </w:rPr>
        <w:t xml:space="preserve">FL.XVI — The Bondage Law (P0/GV, V).</w:t>
      </w:r>
      <w:r>
        <w:rPr>
          <w:rFonts w:ascii="Arial" w:cs="Arial" w:eastAsia="Arial" w:hAnsi="Arial"/>
          <w:b w:val="false"/>
          <w:bCs w:val="false"/>
          <w:i w:val="false"/>
          <w:iCs w:val="false"/>
          <w:sz w:val="22"/>
          <w:szCs w:val="22"/>
        </w:rPr>
        <w:t xml:space="preserve"> Sustained sin produces operational bondage to the sin (John 8:34; Rom. 6:16; 2 Pet. 2:19).</w:t>
      </w:r>
    </w:p>
    <w:p>
      <w:pPr>
        <w:spacing w:after="160" w:line="300"/>
      </w:pPr>
      <w:r>
        <w:rPr>
          <w:rFonts w:ascii="Arial" w:cs="Arial" w:eastAsia="Arial" w:hAnsi="Arial"/>
          <w:b/>
          <w:bCs/>
          <w:i w:val="false"/>
          <w:iCs w:val="false"/>
          <w:sz w:val="22"/>
          <w:szCs w:val="22"/>
        </w:rPr>
        <w:t xml:space="preserve">FL.XVII — The Substitution-Cascade Law (P4/GII, V, paired bidirectional with FL.XXI).</w:t>
      </w:r>
      <w:r>
        <w:rPr>
          <w:rFonts w:ascii="Arial" w:cs="Arial" w:eastAsia="Arial" w:hAnsi="Arial"/>
          <w:b w:val="false"/>
          <w:bCs w:val="false"/>
          <w:i w:val="false"/>
          <w:iCs w:val="false"/>
          <w:sz w:val="22"/>
          <w:szCs w:val="22"/>
        </w:rPr>
        <w:t xml:space="preserve"> Idolatry transmits across generations through the household's implicit-learning channel by default (Exod. 20:5–6; Deut. 5:9–10; 2 Kings 17:41).</w:t>
      </w:r>
    </w:p>
    <w:p>
      <w:pPr>
        <w:spacing w:after="160" w:line="300"/>
      </w:pPr>
      <w:r>
        <w:rPr>
          <w:rFonts w:ascii="Arial" w:cs="Arial" w:eastAsia="Arial" w:hAnsi="Arial"/>
          <w:b/>
          <w:bCs/>
          <w:i w:val="false"/>
          <w:iCs w:val="false"/>
          <w:sz w:val="22"/>
          <w:szCs w:val="22"/>
        </w:rPr>
        <w:t xml:space="preserve">FL.XVIII — The Bitter-Root Community Law (P3/GV, H, bidirectional).</w:t>
      </w:r>
      <w:r>
        <w:rPr>
          <w:rFonts w:ascii="Arial" w:cs="Arial" w:eastAsia="Arial" w:hAnsi="Arial"/>
          <w:b w:val="false"/>
          <w:bCs w:val="false"/>
          <w:i w:val="false"/>
          <w:iCs w:val="false"/>
          <w:sz w:val="22"/>
          <w:szCs w:val="22"/>
        </w:rPr>
        <w:t xml:space="preserve"> Unresolved offense calcifies into a defiling root; Matt. 18 pathway is the corrective (Heb. 12:14–15; Matt. 18:15–20; Eph. 4:26–27).</w:t>
      </w:r>
    </w:p>
    <w:p>
      <w:pPr>
        <w:spacing w:after="160" w:line="300"/>
      </w:pPr>
      <w:r>
        <w:rPr>
          <w:rFonts w:ascii="Arial" w:cs="Arial" w:eastAsia="Arial" w:hAnsi="Arial"/>
          <w:b/>
          <w:bCs/>
          <w:i w:val="false"/>
          <w:iCs w:val="false"/>
          <w:sz w:val="22"/>
          <w:szCs w:val="22"/>
        </w:rPr>
        <w:t xml:space="preserve">FL.XIX — The Spirit Anointing Transmission Law (P4/GI, V).</w:t>
      </w:r>
      <w:r>
        <w:rPr>
          <w:rFonts w:ascii="Arial" w:cs="Arial" w:eastAsia="Arial" w:hAnsi="Arial"/>
          <w:b w:val="false"/>
          <w:bCs w:val="false"/>
          <w:i w:val="false"/>
          <w:iCs w:val="false"/>
          <w:sz w:val="22"/>
          <w:szCs w:val="22"/>
        </w:rPr>
        <w:t xml:space="preserve"> The Spirit's anointing passes across generations through deliberate impartation (Num. 27:18–23; 2 Kings 2:9–15; 2 Tim. 1:5–7).</w:t>
      </w:r>
    </w:p>
    <w:p>
      <w:pPr>
        <w:spacing w:after="160" w:line="300"/>
      </w:pPr>
      <w:r>
        <w:rPr>
          <w:rFonts w:ascii="Arial" w:cs="Arial" w:eastAsia="Arial" w:hAnsi="Arial"/>
          <w:b/>
          <w:bCs/>
          <w:i w:val="false"/>
          <w:iCs w:val="false"/>
          <w:sz w:val="22"/>
          <w:szCs w:val="22"/>
        </w:rPr>
        <w:t xml:space="preserve">FL.XX — The Gathered-Body Discernment Law (P3/GI, V).</w:t>
      </w:r>
      <w:r>
        <w:rPr>
          <w:rFonts w:ascii="Arial" w:cs="Arial" w:eastAsia="Arial" w:hAnsi="Arial"/>
          <w:b w:val="false"/>
          <w:bCs w:val="false"/>
          <w:i w:val="false"/>
          <w:iCs w:val="false"/>
          <w:sz w:val="22"/>
          <w:szCs w:val="22"/>
        </w:rPr>
        <w:t xml:space="preserve"> The Holy Spirit speaks distinctively through a gathered body operating in unity (Acts 13:1–3; Acts 15:1–29; Matt. 18:18–20).</w:t>
      </w:r>
    </w:p>
    <w:p>
      <w:pPr>
        <w:spacing w:after="160" w:line="300"/>
      </w:pPr>
      <w:r>
        <w:rPr>
          <w:rFonts w:ascii="Arial" w:cs="Arial" w:eastAsia="Arial" w:hAnsi="Arial"/>
          <w:b/>
          <w:bCs/>
          <w:i w:val="false"/>
          <w:iCs w:val="false"/>
          <w:sz w:val="22"/>
          <w:szCs w:val="22"/>
        </w:rPr>
        <w:t xml:space="preserve">FL.XXI — The Household Formation Law (P4/GII, V, paired bidirectional with FL.XVII).</w:t>
      </w:r>
      <w:r>
        <w:rPr>
          <w:rFonts w:ascii="Arial" w:cs="Arial" w:eastAsia="Arial" w:hAnsi="Arial"/>
          <w:b w:val="false"/>
          <w:bCs w:val="false"/>
          <w:i w:val="false"/>
          <w:iCs w:val="false"/>
          <w:sz w:val="22"/>
          <w:szCs w:val="22"/>
        </w:rPr>
        <w:t xml:space="preserve"> Faithful covenant-keeping transmits blessing across generations through deliberate teaching (Gen. 12:1–3; Deut. 7:9; 2 Tim. 1:5).</w:t>
      </w:r>
    </w:p>
    <w:p>
      <w:pPr>
        <w:spacing w:after="160" w:line="300"/>
      </w:pPr>
      <w:r>
        <w:rPr>
          <w:rFonts w:ascii="Arial" w:cs="Arial" w:eastAsia="Arial" w:hAnsi="Arial"/>
          <w:b/>
          <w:bCs/>
          <w:i w:val="false"/>
          <w:iCs w:val="false"/>
          <w:sz w:val="22"/>
          <w:szCs w:val="22"/>
        </w:rPr>
        <w:t xml:space="preserve">FL.XXII — The Endurance-Hope Law (P1/GIII, V).</w:t>
      </w:r>
      <w:r>
        <w:rPr>
          <w:rFonts w:ascii="Arial" w:cs="Arial" w:eastAsia="Arial" w:hAnsi="Arial"/>
          <w:b w:val="false"/>
          <w:bCs w:val="false"/>
          <w:i w:val="false"/>
          <w:iCs w:val="false"/>
          <w:sz w:val="22"/>
          <w:szCs w:val="22"/>
        </w:rPr>
        <w:t xml:space="preserve"> Sustained endurance under God-ward orientation produces character that grounds hope (Rom. 5:3–5; Jas. 1:2–4; 1 Pet. 1:6–7; Heb. 12:1–11).</w:t>
      </w:r>
    </w:p>
    <w:p>
      <w:pPr>
        <w:spacing w:after="160" w:line="300"/>
      </w:pPr>
      <w:r>
        <w:rPr>
          <w:rFonts w:ascii="Arial" w:cs="Arial" w:eastAsia="Arial" w:hAnsi="Arial"/>
          <w:b/>
          <w:bCs/>
          <w:i w:val="false"/>
          <w:iCs w:val="false"/>
          <w:sz w:val="22"/>
          <w:szCs w:val="22"/>
        </w:rPr>
        <w:t xml:space="preserve">FL.XXIII — The Sabbath Rest Law (P0/GVI, V; Band 3).</w:t>
      </w:r>
      <w:r>
        <w:rPr>
          <w:rFonts w:ascii="Arial" w:cs="Arial" w:eastAsia="Arial" w:hAnsi="Arial"/>
          <w:b w:val="false"/>
          <w:bCs w:val="false"/>
          <w:i w:val="false"/>
          <w:iCs w:val="false"/>
          <w:sz w:val="22"/>
          <w:szCs w:val="22"/>
        </w:rPr>
        <w:t xml:space="preserve"> Structured cessation in trust-of-provision produces flourishing; absence produces compounding diminishment (Gen. 2:2–3; Exod. 20:8–11; Mark 2:23–28; Heb. 4:1–11).</w:t>
      </w:r>
    </w:p>
    <w:p>
      <w:pPr>
        <w:spacing w:after="160" w:line="300"/>
      </w:pPr>
      <w:r>
        <w:rPr>
          <w:rFonts w:ascii="Arial" w:cs="Arial" w:eastAsia="Arial" w:hAnsi="Arial"/>
          <w:b/>
          <w:bCs/>
          <w:i w:val="false"/>
          <w:iCs w:val="false"/>
          <w:sz w:val="22"/>
          <w:szCs w:val="22"/>
        </w:rPr>
        <w:t xml:space="preserve">FL.XXIV — The Confession-in-Community Law (P3/GV, B).</w:t>
      </w:r>
      <w:r>
        <w:rPr>
          <w:rFonts w:ascii="Arial" w:cs="Arial" w:eastAsia="Arial" w:hAnsi="Arial"/>
          <w:b w:val="false"/>
          <w:bCs w:val="false"/>
          <w:i w:val="false"/>
          <w:iCs w:val="false"/>
          <w:sz w:val="22"/>
          <w:szCs w:val="22"/>
        </w:rPr>
        <w:t xml:space="preserve"> Spoken confession in trusted community produces healing solitary confession does not produce (Jas. 5:16; Prov. 28:13; 1 John 1:9).</w:t>
      </w:r>
    </w:p>
    <w:p>
      <w:pPr>
        <w:spacing w:after="160" w:line="300"/>
      </w:pPr>
      <w:r>
        <w:rPr>
          <w:rFonts w:ascii="Arial" w:cs="Arial" w:eastAsia="Arial" w:hAnsi="Arial"/>
          <w:b/>
          <w:bCs/>
          <w:i w:val="false"/>
          <w:iCs w:val="false"/>
          <w:sz w:val="22"/>
          <w:szCs w:val="22"/>
        </w:rPr>
        <w:t xml:space="preserve">FL.XXV — The Restoration-of-the-Erring Law (P3/GV, H).</w:t>
      </w:r>
      <w:r>
        <w:rPr>
          <w:rFonts w:ascii="Arial" w:cs="Arial" w:eastAsia="Arial" w:hAnsi="Arial"/>
          <w:b w:val="false"/>
          <w:bCs w:val="false"/>
          <w:i w:val="false"/>
          <w:iCs w:val="false"/>
          <w:sz w:val="22"/>
          <w:szCs w:val="22"/>
        </w:rPr>
        <w:t xml:space="preserve"> Active pursuit of the wanderer in gentleness restores to communion (Gal. 6:1; Jas. 5:19–20; Matt. 18:12–14; Luke 15).</w:t>
      </w:r>
    </w:p>
    <w:p>
      <w:pPr>
        <w:spacing w:after="160" w:line="300"/>
      </w:pPr>
      <w:r>
        <w:rPr>
          <w:rFonts w:ascii="Arial" w:cs="Arial" w:eastAsia="Arial" w:hAnsi="Arial"/>
          <w:b/>
          <w:bCs/>
          <w:i w:val="false"/>
          <w:iCs w:val="false"/>
          <w:sz w:val="22"/>
          <w:szCs w:val="22"/>
        </w:rPr>
        <w:t xml:space="preserve">FL.XXVI — The Doctrinal Calcification Law (P4/GIV, V).</w:t>
      </w:r>
      <w:r>
        <w:rPr>
          <w:rFonts w:ascii="Arial" w:cs="Arial" w:eastAsia="Arial" w:hAnsi="Arial"/>
          <w:b w:val="false"/>
          <w:bCs w:val="false"/>
          <w:i w:val="false"/>
          <w:iCs w:val="false"/>
          <w:sz w:val="22"/>
          <w:szCs w:val="22"/>
        </w:rPr>
        <w:t xml:space="preserve"> Traditions transmitted without disciplines of return-to-scripture calcify into substitutes for the truth (Mark 7:8–13; Col. 2:8; 2 Tim. 4:3–4; Jude 3; Isa. 29:13).</w:t>
      </w:r>
    </w:p>
    <w:p>
      <w:pPr>
        <w:spacing w:after="160" w:line="300"/>
      </w:pPr>
      <w:r>
        <w:rPr>
          <w:rFonts w:ascii="Arial" w:cs="Arial" w:eastAsia="Arial" w:hAnsi="Arial"/>
          <w:b/>
          <w:bCs/>
          <w:i w:val="false"/>
          <w:iCs w:val="false"/>
          <w:sz w:val="22"/>
          <w:szCs w:val="22"/>
        </w:rPr>
        <w:t xml:space="preserve">FL.XXVII — The Thick Practice Transmission Law (P4/GV, V).</w:t>
      </w:r>
      <w:r>
        <w:rPr>
          <w:rFonts w:ascii="Arial" w:cs="Arial" w:eastAsia="Arial" w:hAnsi="Arial"/>
          <w:b w:val="false"/>
          <w:bCs w:val="false"/>
          <w:i w:val="false"/>
          <w:iCs w:val="false"/>
          <w:sz w:val="22"/>
          <w:szCs w:val="22"/>
        </w:rPr>
        <w:t xml:space="preserve"> Embedded practices in regular rhythm transmit substance deliberate teaching alone cannot convey (Deut. 6:4–9; Exod. 12; Josh. 4; 1 Cor. 11:23–26; Acts 2:42).</w:t>
      </w:r>
    </w:p>
    <w:p>
      <w:pPr>
        <w:spacing w:after="160" w:line="300"/>
      </w:pPr>
      <w:r>
        <w:rPr>
          <w:rFonts w:ascii="Arial" w:cs="Arial" w:eastAsia="Arial" w:hAnsi="Arial"/>
          <w:b/>
          <w:bCs/>
          <w:i w:val="false"/>
          <w:iCs w:val="false"/>
          <w:sz w:val="22"/>
          <w:szCs w:val="22"/>
        </w:rPr>
        <w:t xml:space="preserve">FL.XXVIII — The Generational Nested Structure Law (P4/GVI, V).</w:t>
      </w:r>
      <w:r>
        <w:rPr>
          <w:rFonts w:ascii="Arial" w:cs="Arial" w:eastAsia="Arial" w:hAnsi="Arial"/>
          <w:b w:val="false"/>
          <w:bCs w:val="false"/>
          <w:i w:val="false"/>
          <w:iCs w:val="false"/>
          <w:sz w:val="22"/>
          <w:szCs w:val="22"/>
        </w:rPr>
        <w:t xml:space="preserve"> Formation operates within a nested architecture; integrity at each scale is the operational condition for the transmission mechanisms (Deut. 4:9–10; Ps. 78; Eph. 3:14–15; Heb. 11–12).</w:t>
      </w:r>
    </w:p>
    <w:p>
      <w:pPr>
        <w:spacing w:after="160" w:line="300"/>
      </w:pPr>
      <w:r>
        <w:rPr>
          <w:rFonts w:ascii="Arial" w:cs="Arial" w:eastAsia="Arial" w:hAnsi="Arial"/>
          <w:b/>
          <w:bCs/>
          <w:i w:val="false"/>
          <w:iCs w:val="false"/>
          <w:sz w:val="22"/>
          <w:szCs w:val="22"/>
        </w:rPr>
        <w:t xml:space="preserve">FL.XXIX — The Corporate Emotional Integration Law (P3/GIII, B).</w:t>
      </w:r>
      <w:r>
        <w:rPr>
          <w:rFonts w:ascii="Arial" w:cs="Arial" w:eastAsia="Arial" w:hAnsi="Arial"/>
          <w:b w:val="false"/>
          <w:bCs w:val="false"/>
          <w:i w:val="false"/>
          <w:iCs w:val="false"/>
          <w:sz w:val="22"/>
          <w:szCs w:val="22"/>
        </w:rPr>
        <w:t xml:space="preserve"> The corporate soul integrates shared experience through gathered community's collective engagement (1 Cor. 12:26; Rom. 12:15; Acts 4:23–31; Neh. 8–9; Ps. lament-and-praise corpus; Heb. 10:24–25; John 11:33–36).</w:t>
      </w:r>
    </w:p>
    <w:p>
      <w:pPr>
        <w:spacing w:after="160" w:line="300"/>
      </w:pPr>
      <w:r>
        <w:rPr>
          <w:rFonts w:ascii="Arial" w:cs="Arial" w:eastAsia="Arial" w:hAnsi="Arial"/>
          <w:b/>
          <w:bCs/>
          <w:i w:val="false"/>
          <w:iCs w:val="false"/>
          <w:sz w:val="22"/>
          <w:szCs w:val="22"/>
        </w:rPr>
        <w:t xml:space="preserve">FL.XXX — The Communal Soul-Care for the Wounded Law (P3/GIII, H).</w:t>
      </w:r>
      <w:r>
        <w:rPr>
          <w:rFonts w:ascii="Arial" w:cs="Arial" w:eastAsia="Arial" w:hAnsi="Arial"/>
          <w:b w:val="false"/>
          <w:bCs w:val="false"/>
          <w:i w:val="false"/>
          <w:iCs w:val="false"/>
          <w:sz w:val="22"/>
          <w:szCs w:val="22"/>
        </w:rPr>
        <w:t xml:space="preserve"> The gathered community holds the integration the soul-wounded member cannot accomplish alone, sustained over the duration the wounding requires (Acts 9:9–25; 2 Cor. 1:3–7; Jas. 5:13–16; Gal. 6:2; Mark 2:1–12; Job 2:11–13).</w:t>
      </w:r>
    </w:p>
    <w:p>
      <w:pPr>
        <w:spacing w:after="160" w:line="300"/>
      </w:pPr>
      <w:r>
        <w:rPr>
          <w:rFonts w:ascii="Arial" w:cs="Arial" w:eastAsia="Arial" w:hAnsi="Arial"/>
          <w:b/>
          <w:bCs/>
          <w:i w:val="false"/>
          <w:iCs w:val="false"/>
          <w:sz w:val="22"/>
          <w:szCs w:val="22"/>
        </w:rPr>
        <w:t xml:space="preserve">FL.XXXI — The Corporate Scriptural Reception Law (P3/GIV, V).</w:t>
      </w:r>
      <w:r>
        <w:rPr>
          <w:rFonts w:ascii="Arial" w:cs="Arial" w:eastAsia="Arial" w:hAnsi="Arial"/>
          <w:b w:val="false"/>
          <w:bCs w:val="false"/>
          <w:i w:val="false"/>
          <w:iCs w:val="false"/>
          <w:sz w:val="22"/>
          <w:szCs w:val="22"/>
        </w:rPr>
        <w:t xml:space="preserve"> A gathered community's collective reception of scriptural address produces operational reception that solitary reading does not (Deut. 31:9–13; Neh. 8:1–12; Acts 2:42; 1 Tim. 4:13; Col. 3:16; Rev. 1:3; Luke 4:16–21).</w:t>
      </w:r>
    </w:p>
    <w:p>
      <w:pPr>
        <w:spacing w:after="160" w:line="300"/>
      </w:pPr>
      <w:r>
        <w:rPr>
          <w:rFonts w:ascii="Arial" w:cs="Arial" w:eastAsia="Arial" w:hAnsi="Arial"/>
          <w:b/>
          <w:bCs/>
          <w:i w:val="false"/>
          <w:iCs w:val="false"/>
          <w:sz w:val="22"/>
          <w:szCs w:val="22"/>
        </w:rPr>
        <w:t xml:space="preserve">FL.XXXII — The Communal Worship Heart-Alignment Law (P3/GII, B).</w:t>
      </w:r>
      <w:r>
        <w:rPr>
          <w:rFonts w:ascii="Arial" w:cs="Arial" w:eastAsia="Arial" w:hAnsi="Arial"/>
          <w:b w:val="false"/>
          <w:bCs w:val="false"/>
          <w:i w:val="false"/>
          <w:iCs w:val="false"/>
          <w:sz w:val="22"/>
          <w:szCs w:val="22"/>
        </w:rPr>
        <w:t xml:space="preserve"> A gathered community's collective worship operates as the structural form of the corporate-heart's God-ward alignment (Ps. 22:22–25; Ps. 100; Heb. 12:22–24; Heb. 10:24–25; Acts 2:46–47; Rev. 4–5; Rom. 15:5–6).</w:t>
      </w:r>
    </w:p>
    <w:p>
      <w:pPr>
        <w:spacing w:after="160" w:line="300"/>
      </w:pPr>
      <w:r>
        <w:rPr>
          <w:rFonts w:ascii="Arial" w:cs="Arial" w:eastAsia="Arial" w:hAnsi="Arial"/>
          <w:b/>
          <w:bCs/>
          <w:i w:val="false"/>
          <w:iCs w:val="false"/>
          <w:sz w:val="22"/>
          <w:szCs w:val="22"/>
        </w:rPr>
        <w:t xml:space="preserve">FL.XXXIII — The Community Polity Structure / Ecclesial Architecture Law (P3/GVI, V; Band 3).</w:t>
      </w:r>
      <w:r>
        <w:rPr>
          <w:rFonts w:ascii="Arial" w:cs="Arial" w:eastAsia="Arial" w:hAnsi="Arial"/>
          <w:b w:val="false"/>
          <w:bCs w:val="false"/>
          <w:i w:val="false"/>
          <w:iCs w:val="false"/>
          <w:sz w:val="22"/>
          <w:szCs w:val="22"/>
        </w:rPr>
        <w:t xml:space="preserve"> Some polity-structure operates as the architectural framework within which the gathered community's other operations are conducted; the specific polity-form is tradition-by-tradition theological work (Acts 6:1–7; Acts 14:23; Acts 15; Acts 20:28; 1 Tim. 3; Titus 1:5–9; Eph. 4:11–13; 1 Cor. 12:27–31; Heb. 13:7, 17; 1 Pet. 5:1–4).</w:t>
      </w:r>
    </w:p>
    <w:p>
      <w:pPr>
        <w:spacing w:after="160" w:line="300"/>
      </w:pPr>
      <w:r>
        <w:rPr>
          <w:rFonts w:ascii="Arial" w:cs="Arial" w:eastAsia="Arial" w:hAnsi="Arial"/>
          <w:b/>
          <w:bCs/>
          <w:i w:val="false"/>
          <w:iCs w:val="false"/>
          <w:sz w:val="22"/>
          <w:szCs w:val="22"/>
        </w:rPr>
        <w:t xml:space="preserve">FL.XXXIV — The Marriage Covenant Architecture Law (P2/GVI, V; Band 2).</w:t>
      </w:r>
      <w:r>
        <w:rPr>
          <w:rFonts w:ascii="Arial" w:cs="Arial" w:eastAsia="Arial" w:hAnsi="Arial"/>
          <w:b w:val="false"/>
          <w:bCs w:val="false"/>
          <w:i w:val="false"/>
          <w:iCs w:val="false"/>
          <w:sz w:val="22"/>
          <w:szCs w:val="22"/>
        </w:rPr>
        <w:t xml:space="preserve"> The marriage covenant operates as the architectural framework conditioning the operations within the marital dyad; the scripturally-specified operational pathway is the leave-and-cleave-and-one-flesh pattern with covenant-monogamy between man and woman, exclusivity at the conjugal level, structural durability through divine joining-together, openness to procreation, and eschatological reflective dimension as the Christ-and-Church relationship (Gen. 1:27–28; Gen. 2:18–25; Mal. 2:13–16; Matt. 19:3–9; Mark 10:2–12; Eph. 5:22–33; Heb. 13:4; 1 Pet. 3:1–7; 1 Cor. 7; Prov. 5; Song of Songs; Rev. 19:6–9). </w:t>
      </w:r>
      <w:r>
        <w:rPr>
          <w:rFonts w:ascii="Arial" w:cs="Arial" w:eastAsia="Arial" w:hAnsi="Arial"/>
          <w:b w:val="false"/>
          <w:bCs w:val="false"/>
          <w:i/>
          <w:iCs/>
          <w:sz w:val="22"/>
          <w:szCs w:val="22"/>
        </w:rPr>
        <w:t xml:space="preserve">New at v5_6_0_27.</w:t>
      </w:r>
    </w:p>
    <w:p>
      <w:pPr>
        <w:pStyle w:val="Heading2"/>
        <w:spacing w:after="160" w:before="240"/>
      </w:pPr>
      <w:r>
        <w:rPr>
          <w:rFonts w:ascii="Arial" w:cs="Arial" w:eastAsia="Arial" w:hAnsi="Arial"/>
          <w:b/>
          <w:bCs/>
          <w:sz w:val="30"/>
          <w:szCs w:val="30"/>
        </w:rPr>
        <w:t xml:space="preserve">The Floor and the Building</w:t>
      </w:r>
    </w:p>
    <w:p>
      <w:pPr>
        <w:spacing w:after="160" w:line="300"/>
      </w:pPr>
      <w:r>
        <w:rPr>
          <w:rFonts w:ascii="Arial" w:cs="Arial" w:eastAsia="Arial" w:hAnsi="Arial"/>
          <w:b w:val="false"/>
          <w:bCs w:val="false"/>
          <w:i w:val="false"/>
          <w:iCs w:val="false"/>
          <w:sz w:val="22"/>
          <w:szCs w:val="22"/>
        </w:rPr>
        <w:t xml:space="preserve">These thirty-four laws are the floor. The Explorations that follow build on this floor. The rest of the corpus is the building.</w:t>
      </w:r>
    </w:p>
    <w:p>
      <w:pPr>
        <w:pStyle w:val="Heading2"/>
        <w:spacing w:after="160" w:before="240"/>
      </w:pPr>
      <w:r>
        <w:rPr>
          <w:rFonts w:ascii="Arial" w:cs="Arial" w:eastAsia="Arial" w:hAnsi="Arial"/>
          <w:b/>
          <w:bCs/>
          <w:sz w:val="30"/>
          <w:szCs w:val="30"/>
        </w:rPr>
        <w:t xml:space="preserve">Closing Note on v5_6_0_27</w:t>
      </w:r>
    </w:p>
    <w:p>
      <w:pPr>
        <w:spacing w:after="160" w:line="300"/>
      </w:pPr>
      <w:r>
        <w:rPr>
          <w:rFonts w:ascii="Arial" w:cs="Arial" w:eastAsia="Arial" w:hAnsi="Arial"/>
          <w:b w:val="false"/>
          <w:bCs w:val="false"/>
          <w:i w:val="false"/>
          <w:iCs w:val="false"/>
          <w:sz w:val="22"/>
          <w:szCs w:val="22"/>
        </w:rPr>
        <w:t xml:space="preserve">The present revision adds one new Foundational Law (FL.XXXIV Marriage Covenant Architecture Law) as the v5_6_0_13 focused single-admission pass at Band 2 articulation. The admission addresses the dyadic pair-bond architecture at P2/GVI per the v5_6_0_11 Q3 ratification and v5_6_0_12 Q1 ratification. The chapter's title moves from "Thirty-Three" to "Thirty-Four" with this revision. The Foundational tier now stands at thirty-four laws.</w:t>
      </w:r>
    </w:p>
    <w:p>
      <w:pPr>
        <w:spacing w:after="160" w:line="300"/>
      </w:pPr>
      <w:r>
        <w:rPr>
          <w:rFonts w:ascii="Arial" w:cs="Arial" w:eastAsia="Arial" w:hAnsi="Arial"/>
          <w:b w:val="false"/>
          <w:bCs w:val="false"/>
          <w:i w:val="false"/>
          <w:iCs w:val="false"/>
          <w:sz w:val="22"/>
          <w:szCs w:val="22"/>
        </w:rPr>
        <w:t xml:space="preserve">The Group VI architectural-framework work at the major scales is now substantially complete: FL.XXIII Sabbath Rest at P0/GVI (Band 3), FL.XXXIV Marriage Covenant Architecture at P2/GVI (Band 2), FL.XXXIII Community Polity Structure at P3/GVI (Band 3), FL.XXVIII Generational Nested Structure at P4/GVI (Band 1). Period 1 / Group VI and Period 5 / Group VI remain without Foundational entries and may be addressed in subsequent revisions if appropriate candidate articulation surfaces.</w:t>
      </w:r>
    </w:p>
    <w:p>
      <w:pPr>
        <w:spacing w:after="160" w:line="300"/>
      </w:pPr>
      <w:r>
        <w:rPr>
          <w:rFonts w:ascii="Arial" w:cs="Arial" w:eastAsia="Arial" w:hAnsi="Arial"/>
          <w:b w:val="false"/>
          <w:bCs w:val="false"/>
          <w:i w:val="false"/>
          <w:iCs w:val="false"/>
          <w:sz w:val="22"/>
          <w:szCs w:val="22"/>
        </w:rPr>
        <w:t xml:space="preserve">The next revision (v5_6_0_14) is anticipated to begin Period 5 cosmic-eschatological territory work per the v5_6_0_11 Q4 and v5_6_0_12 Q4 ratifications. The architecture established at v5_6_0_5 remains stable through the v5_6_0_13 admission; the Band 2 articulation operates within the existing band-of-closeness structure between Band 1 and Band 3.</w:t>
      </w:r>
    </w:p>
    <w:p>
      <w:r>
        <w:br w:type="page"/>
      </w:r>
    </w:p>
    <w:p>
      <w:pPr>
        <w:pStyle w:val="Heading1"/>
        <w:spacing w:after="240" w:before="360"/>
      </w:pPr>
      <w:r>
        <w:rPr>
          <w:rFonts w:ascii="Arial" w:cs="Arial" w:eastAsia="Arial" w:hAnsi="Arial"/>
          <w:b/>
          <w:bCs/>
          <w:sz w:val="36"/>
          <w:szCs w:val="36"/>
        </w:rPr>
        <w:t xml:space="preserve">Section C · Vol 5 Periodic Table Chapter Edits v5_6_0_13</w:t>
      </w:r>
    </w:p>
    <w:p>
      <w:pPr>
        <w:spacing w:after="160" w:line="300"/>
      </w:pPr>
      <w:r>
        <w:rPr>
          <w:rFonts w:ascii="Arial" w:cs="Arial" w:eastAsia="Arial" w:hAnsi="Arial"/>
          <w:b w:val="false"/>
          <w:bCs w:val="false"/>
          <w:i w:val="false"/>
          <w:iCs w:val="false"/>
          <w:sz w:val="22"/>
          <w:szCs w:val="22"/>
        </w:rPr>
        <w:t xml:space="preserve">The Vol 5 Periodic Table chapter receives targeted edits at v5_6_0_13 including the new FL.XXXIV reference list entry, the Group VI Architectural-Framework Across Scales sub-section, the Six Group Families update for Group VI, and the updated closing note. The seven targeted edits follow.</w:t>
      </w:r>
    </w:p>
    <w:p>
      <w:r>
        <w:br w:type="page"/>
      </w:r>
    </w:p>
    <w:p>
      <w:pPr>
        <w:pStyle w:val="Heading1"/>
        <w:spacing w:after="240" w:before="360"/>
      </w:pPr>
      <w:r>
        <w:rPr>
          <w:rFonts w:ascii="Arial" w:cs="Arial" w:eastAsia="Arial" w:hAnsi="Arial"/>
          <w:b/>
          <w:bCs/>
          <w:sz w:val="36"/>
          <w:szCs w:val="36"/>
        </w:rPr>
        <w:t xml:space="preserve">Vol 5 Periodic Table Chapter — v5_6_0_13 Targeted Edits</w:t>
      </w:r>
    </w:p>
    <w:p>
      <w:pPr>
        <w:spacing w:after="160" w:line="300"/>
      </w:pPr>
      <w:r>
        <w:rPr>
          <w:rFonts w:ascii="Arial" w:cs="Arial" w:eastAsia="Arial" w:hAnsi="Arial"/>
          <w:b w:val="false"/>
          <w:bCs w:val="false"/>
          <w:i w:val="false"/>
          <w:iCs w:val="false"/>
          <w:sz w:val="22"/>
          <w:szCs w:val="22"/>
        </w:rPr>
        <w:t xml:space="preserve">The v5_6_0_13 revision is the focused single-admission pass at P2/GVI per the v5_6_0_12 Q1 ratification. The revision admits FL.XXXIV Marriage Covenant Architecture Law at Band 2 articulation, addressing the dyadic pair-bond architecture at the Period 2 / Group VI cell with marriage as the canonically-articulated primary case. The broader dyadic-pair-bond architectural territory (close-friendship covenant; discipleship dyad; spiritual-direction pair) is held within the marriage chapter as related architectural forms per the v5_6_0_12 Q3 working judgment.</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1 — Opening paragraph naming the revision</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paragraph naming the v5_6_0_12 revision.</w:t>
      </w:r>
    </w:p>
    <w:p>
      <w:pPr>
        <w:spacing w:after="160" w:line="300"/>
      </w:pPr>
      <w:r>
        <w:rPr>
          <w:rFonts w:ascii="Arial" w:cs="Arial" w:eastAsia="Arial" w:hAnsi="Arial"/>
          <w:b/>
          <w:bCs/>
          <w:i w:val="false"/>
          <w:iCs w:val="false"/>
          <w:sz w:val="22"/>
          <w:szCs w:val="22"/>
        </w:rPr>
        <w:t xml:space="preserve">New paragraph:</w:t>
      </w:r>
    </w:p>
    <w:p>
      <w:pPr>
        <w:spacing w:after="160" w:line="300"/>
      </w:pPr>
      <w:r>
        <w:rPr>
          <w:rFonts w:ascii="Arial" w:cs="Arial" w:eastAsia="Arial" w:hAnsi="Arial"/>
          <w:b w:val="false"/>
          <w:bCs w:val="false"/>
          <w:i w:val="false"/>
          <w:iCs w:val="false"/>
          <w:sz w:val="22"/>
          <w:szCs w:val="22"/>
        </w:rPr>
        <w:t xml:space="preserve">Vol 5 v5_6_0_13 (the present revision) is the focused single-admission pass at Period 2 / Group VI per the v5_6_0_12 Q1 ratification. The revision admits FL.XXXIV Marriage Covenant Architecture Law at Band 2 articulation, addressing the dyadic pair-bond architecture with marriage as the canonically-articulated primary case (per v5_6_0_11 Q3 ratification and v5_6_0_12 Q1 ratification). The Band 2 articulation is structurally distinct from the Band 3 articulations at FL.XXIII Sabbath Rest and FL.XXXIII Community Polity Structure — the marriage covenant's operational pathway (the leave-and-cleave-and-one-flesh pattern of Gen. 2:24 ratified by Matt. 19:5 and Eph. 5:31) is scripturally specified rather than tradition-arbitrated, with the Band 2 admission holding the principle together with its scripturally-specified pathway as the law's articulation. The broader dyadic-pair-bond architectural territory (close-friendship covenant per Jonathan-David; discipleship dyad per Paul-Timothy, Elijah-Elisha, Naomi-Ruth; spiritual-direction pair per the patristic and modern traditions) is held within the marriage chapter as related architectural forms.</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2 — Headline counts update</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table currently holds 49 analyzed laws" (v5_6_0_12 baseline).</w:t>
      </w:r>
    </w:p>
    <w:p>
      <w:pPr>
        <w:spacing w:after="160" w:line="300"/>
      </w:pPr>
      <w:r>
        <w:rPr>
          <w:rFonts w:ascii="Arial" w:cs="Arial" w:eastAsia="Arial" w:hAnsi="Arial"/>
          <w:b/>
          <w:bCs/>
          <w:i w:val="false"/>
          <w:iCs w:val="false"/>
          <w:sz w:val="22"/>
          <w:szCs w:val="22"/>
        </w:rPr>
        <w:t xml:space="preserve">Replacement paragraph:</w:t>
      </w:r>
    </w:p>
    <w:p>
      <w:pPr>
        <w:spacing w:after="160" w:line="300"/>
      </w:pPr>
      <w:r>
        <w:rPr>
          <w:rFonts w:ascii="Arial" w:cs="Arial" w:eastAsia="Arial" w:hAnsi="Arial"/>
          <w:b w:val="false"/>
          <w:bCs w:val="false"/>
          <w:i w:val="false"/>
          <w:iCs w:val="false"/>
          <w:sz w:val="22"/>
          <w:szCs w:val="22"/>
        </w:rPr>
        <w:t xml:space="preserve">The table currently holds 50 analyzed laws drawn from across the three primary volumes and the associated formation documents, including 34 Foundational Laws of wide consent (FL.I–XXXIV), 9 speculative extensions marked with ◆ (unchanged from v5_6_0_12), 0 open unknowns (unchanged from v5_6_0_12), 1 anomaly (V2.Exp10 Skill Development at P3/GVI), and 6 forward-references to Volume 3's field-theoretic appendix. Confidence is expressed in qualitative tiers, not statistical probabilities. The three tiers Vol 1 defines — Clearly Taught, Reasonably Inferred, and Speculative — do the actual epistemic work; see Vol 1's tier description for the full definitions. Volume 1 v5_6_0_27 adds one new Foundational Law since v5_6_0_26 (FL.XXXIV), and the table is synced to current Vol 1 numbering as of this volume's v5_6_0_13.</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3 — Slim Format table row update</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slim-format table's P2/GVI cell.</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Update the cell to include the new FL.XXXIV admission.</w:t>
      </w:r>
    </w:p>
    <w:p>
      <w:pPr>
        <w:spacing w:after="160" w:line="300"/>
      </w:pPr>
      <w:r>
        <w:rPr>
          <w:rFonts w:ascii="Arial" w:cs="Arial" w:eastAsia="Arial" w:hAnsi="Arial"/>
          <w:b/>
          <w:bCs/>
          <w:i w:val="false"/>
          <w:iCs w:val="false"/>
          <w:sz w:val="22"/>
          <w:szCs w:val="22"/>
        </w:rPr>
        <w:t xml:space="preserve">P2/GVI cell:</w:t>
      </w:r>
    </w:p>
    <w:p>
      <w:pPr>
        <w:pBdr>
          <w:left w:val="single" w:color="CCCCCC" w:sz="12" w:space="12"/>
        </w:pBdr>
        <w:spacing w:after="160" w:before="120" w:line="300"/>
        <w:ind w:left="720" w:right="720"/>
      </w:pPr>
      <w:r>
        <w:rPr>
          <w:rFonts w:ascii="Arial" w:cs="Arial" w:eastAsia="Arial" w:hAnsi="Arial"/>
          <w:b/>
          <w:bCs/>
          <w:i w:val="false"/>
          <w:iCs w:val="false"/>
          <w:sz w:val="22"/>
          <w:szCs w:val="22"/>
        </w:rPr>
        <w:t xml:space="preserve">P2 / GVI (Structural Frame):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FL.XXXIV Marriage Covenant Architecture Law</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(new at v5_6_0_13 — Band 2; canonically-articulated primary case of dyadic pair-bond architecture; broader dyadic-architectural forms held within chapter as related cases)</w:t>
      </w:r>
    </w:p>
    <w:p>
      <w:pPr>
        <w:spacing w:after="160" w:line="300"/>
      </w:pPr>
      <w:r>
        <w:rPr>
          <w:rFonts w:ascii="Arial" w:cs="Arial" w:eastAsia="Arial" w:hAnsi="Arial"/>
          <w:b w:val="false"/>
          <w:bCs w:val="false"/>
          <w:i w:val="false"/>
          <w:iCs w:val="false"/>
          <w:sz w:val="22"/>
          <w:szCs w:val="22"/>
        </w:rPr>
        <w:t xml:space="preserve">The Period 2 row now holds 3 Foundational entries (FL.V Reciprocal Forgiveness at GV; FL.XII Honor-Authority Flourishing at GV; FL.XXXIV Marriage Covenant Architecture at GVI). The Period 2 row's other cells (P2/GI Spirit, P2/GII Heart, P2/GIII Soul, P2/GIV Mind/Will) remain without Foundational entries and may be addressed in subsequent revisions if appropriate candidate articulation surfaces.</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4 — Reference List entry</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reference list at P2.</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Insert the new reference list entry.</w:t>
      </w:r>
    </w:p>
    <w:p>
      <w:pPr>
        <w:pStyle w:val="Heading3"/>
        <w:spacing w:after="160" w:before="240"/>
      </w:pPr>
      <w:r>
        <w:rPr>
          <w:rFonts w:ascii="Arial" w:cs="Arial" w:eastAsia="Arial" w:hAnsi="Arial"/>
          <w:b/>
          <w:bCs/>
          <w:sz w:val="26"/>
          <w:szCs w:val="26"/>
        </w:rPr>
        <w:t xml:space="preserve">P2/GVI · Foundational — FL.XXXIV Marriage Covenant Architecture Law (V; Band 2), Clearly Taught</w:t>
      </w:r>
    </w:p>
    <w:p>
      <w:pPr>
        <w:spacing w:after="160" w:line="300"/>
      </w:pPr>
      <w:r>
        <w:rPr>
          <w:rFonts w:ascii="Arial" w:cs="Arial" w:eastAsia="Arial" w:hAnsi="Arial"/>
          <w:b w:val="false"/>
          <w:bCs w:val="false"/>
          <w:i w:val="false"/>
          <w:iCs w:val="false"/>
          <w:sz w:val="22"/>
          <w:szCs w:val="22"/>
        </w:rPr>
        <w:t xml:space="preserve">The marriage covenant — instituted at creation, ratified by Jesus's teaching, articulated by Paul as reflecting the Christ-and-Church relationship — operates as the architectural framework conditioning the operations within the marital dyad; the framework's scripturally-specified operational pathway is the leave-and-cleave-and-one-flesh pattern (Gen. 2:24 ratified by Matt. 19:5 and Eph. 5:31), with the operational features of covenant-monogamy between man and woman, exclusivity at the conjugal level, structural durability through divine joining-together (Matt. 19:6 "what therefore God has joined together"), openness to procreation and household formation operations (Gen. 1:28; Mal. 2:15), and eschatological reflective dimension grounding the dyadic-architectural arrangement in the Christ-and-Church cosmic-eschatological reality (Eph. 5:32).</w:t>
      </w:r>
    </w:p>
    <w:p>
      <w:pPr>
        <w:spacing w:after="160" w:line="300"/>
      </w:pPr>
      <w:r>
        <w:rPr>
          <w:rFonts w:ascii="Arial" w:cs="Arial" w:eastAsia="Arial" w:hAnsi="Arial"/>
          <w:b w:val="false"/>
          <w:bCs w:val="false"/>
          <w:i w:val="false"/>
          <w:iCs w:val="false"/>
          <w:sz w:val="22"/>
          <w:szCs w:val="22"/>
        </w:rPr>
        <w:t xml:space="preserve">Seven-or-more-biblical-author cross-Testament support exceeding the catalog's minimum threshold: Genesis writer (Gen. 1:27–28; Gen. 2:18–25); Malachi (Mal. 2:13–16); Matthew and Mark (Matt. 19:3–9; Mark 10:2–12); Paul across multiple letters (Eph. 5:22–33; 1 Cor. 7; the broader Pauline corpus); Hebrews writer (Heb. 13:4); Peter (1 Pet. 3:1–7); wisdom writers (Prov. 5:15–19; 18:22; 31:10–31); Song of Songs poet; Hosea writer (Hosea 1–3); John in Revelation (Rev. 19:6–9; 21:1–11). Operational depth across creation, prophetic, gospel, apostolic, wisdom, narrative, and apocalyptic registers establishes canonical centrality.</w:t>
      </w:r>
    </w:p>
    <w:p>
      <w:pPr>
        <w:spacing w:after="160" w:line="300"/>
      </w:pPr>
      <w:r>
        <w:rPr>
          <w:rFonts w:ascii="Arial" w:cs="Arial" w:eastAsia="Arial" w:hAnsi="Arial"/>
          <w:b w:val="false"/>
          <w:bCs w:val="false"/>
          <w:i w:val="false"/>
          <w:iCs w:val="false"/>
          <w:sz w:val="22"/>
          <w:szCs w:val="22"/>
        </w:rPr>
        <w:t xml:space="preserve">Band 2 articulation is structurally distinct from Band 3 (the marriage covenant's operational pathway is scripturally specified rather than tradition-arbitrated). The broader dyadic-pair-bond architectural territory beyond marriage (close-friendship covenant per Jonathan-David; discipleship dyad per Paul-Timothy, Elijah-Elisha, Naomi-Ruth; spiritual-direction pair per patristic and modern traditions) is held within the chapter as related architectural forms operating by structurally analogous principles within distinct operational scopes.</w:t>
      </w:r>
    </w:p>
    <w:p>
      <w:pPr>
        <w:spacing w:after="160" w:line="300"/>
      </w:pPr>
      <w:r>
        <w:rPr>
          <w:rFonts w:ascii="Arial" w:cs="Arial" w:eastAsia="Arial" w:hAnsi="Arial"/>
          <w:b/>
          <w:bCs/>
          <w:i/>
          <w:iCs/>
          <w:sz w:val="22"/>
          <w:szCs w:val="22"/>
        </w:rPr>
        <w:t xml:space="preserve">Mirror (statement form):</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Multiple distinct failure modes addressed by the scriptural witness: faithlessness to the covenant partner (Mal. 2:13–16); hardness-of-heart producing divorce dynamic (Matt. 19:8); defilement of marriage bed through sexual-relational operations outside covenant (Heb. 13:4); marriage-as-idol distortion enthroning the relationship as structuring center rather than God-relationship (FL.III and FL.XIV territory); institutional-redefinition failure mode operating at modification of scripturally-specified operational pathway. Catalog holds scripturally-articulated marriage covenant as operational form the law admits without adjudicating contemporary contestation. Recovery requires covenant's restoration in scripturally-articulated form at each failure-mode level.</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5 — Group VI Architectural-Framework Cross-Scale Sub-Section</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Insert after the v5_6_0_12 Period 3 Row Structural-Completion Milestone sub-section, within the "What the Shape Reveals" section.</w:t>
      </w:r>
    </w:p>
    <w:p>
      <w:pPr>
        <w:spacing w:after="160" w:line="300"/>
      </w:pPr>
      <w:r>
        <w:rPr>
          <w:rFonts w:ascii="Arial" w:cs="Arial" w:eastAsia="Arial" w:hAnsi="Arial"/>
          <w:b/>
          <w:bCs/>
          <w:i w:val="false"/>
          <w:iCs w:val="false"/>
          <w:sz w:val="22"/>
          <w:szCs w:val="22"/>
        </w:rPr>
        <w:t xml:space="preserve">New sub-section:</w:t>
      </w:r>
    </w:p>
    <w:p>
      <w:pPr>
        <w:pStyle w:val="Heading3"/>
        <w:spacing w:after="160" w:before="240"/>
      </w:pPr>
      <w:r>
        <w:rPr>
          <w:rFonts w:ascii="Arial" w:cs="Arial" w:eastAsia="Arial" w:hAnsi="Arial"/>
          <w:b/>
          <w:bCs/>
          <w:sz w:val="26"/>
          <w:szCs w:val="26"/>
        </w:rPr>
        <w:t xml:space="preserve">The Group VI Architectural-Framework Across Scales</w:t>
      </w:r>
    </w:p>
    <w:p>
      <w:pPr>
        <w:spacing w:after="160" w:line="300"/>
      </w:pPr>
      <w:r>
        <w:rPr>
          <w:rFonts w:ascii="Arial" w:cs="Arial" w:eastAsia="Arial" w:hAnsi="Arial"/>
          <w:b w:val="false"/>
          <w:bCs w:val="false"/>
          <w:i w:val="false"/>
          <w:iCs w:val="false"/>
          <w:sz w:val="22"/>
          <w:szCs w:val="22"/>
        </w:rPr>
        <w:t xml:space="preserve">The v5_6_0_13 admission of FL.XXXIV Marriage Covenant Architecture Law produces a structurally significant pattern in the Group VI Foundational coverage: four of the catalog's six major scales now hold Group VI Foundational entries, with the architectural-framework function articulated at each scale through the appropriate operational form.</w:t>
      </w:r>
    </w:p>
    <w:p>
      <w:pPr>
        <w:spacing w:after="160" w:line="300"/>
      </w:pPr>
      <w:r>
        <w:rPr>
          <w:rFonts w:ascii="Arial" w:cs="Arial" w:eastAsia="Arial" w:hAnsi="Arial"/>
          <w:b/>
          <w:bCs/>
          <w:i w:val="false"/>
          <w:iCs w:val="false"/>
          <w:sz w:val="22"/>
          <w:szCs w:val="22"/>
        </w:rPr>
        <w:t xml:space="preserve">P0/GVI (Eternal-Pattern / Structural Frame):</w:t>
      </w:r>
      <w:r>
        <w:rPr>
          <w:rFonts w:ascii="Arial" w:cs="Arial" w:eastAsia="Arial" w:hAnsi="Arial"/>
          <w:b w:val="false"/>
          <w:bCs w:val="false"/>
          <w:i w:val="false"/>
          <w:iCs w:val="false"/>
          <w:sz w:val="22"/>
          <w:szCs w:val="22"/>
        </w:rPr>
        <w:t xml:space="preserve"> FL.XXIII Sabbath Rest Law (Band 3). Structured cessation in trust-of-provision as the eternal-pattern architectural framework for the rhythm of work and rest.</w:t>
      </w:r>
    </w:p>
    <w:p>
      <w:pPr>
        <w:spacing w:after="160" w:line="300"/>
      </w:pPr>
      <w:r>
        <w:rPr>
          <w:rFonts w:ascii="Arial" w:cs="Arial" w:eastAsia="Arial" w:hAnsi="Arial"/>
          <w:b/>
          <w:bCs/>
          <w:i w:val="false"/>
          <w:iCs w:val="false"/>
          <w:sz w:val="22"/>
          <w:szCs w:val="22"/>
        </w:rPr>
        <w:t xml:space="preserve">P2/GVI (Two-or-Three / Structural Frame):</w:t>
      </w:r>
      <w:r>
        <w:rPr>
          <w:rFonts w:ascii="Arial" w:cs="Arial" w:eastAsia="Arial" w:hAnsi="Arial"/>
          <w:b w:val="false"/>
          <w:bCs w:val="false"/>
          <w:i w:val="false"/>
          <w:iCs w:val="false"/>
          <w:sz w:val="22"/>
          <w:szCs w:val="22"/>
        </w:rPr>
        <w:t xml:space="preserve"> FL.XXXIV Marriage Covenant Architecture Law (Band 2). The marriage covenant as the dyadic-pair-bond architectural framework, with the leave-and-cleave-and-one-flesh pathway scripturally specified.</w:t>
      </w:r>
    </w:p>
    <w:p>
      <w:pPr>
        <w:spacing w:after="160" w:line="300"/>
      </w:pPr>
      <w:r>
        <w:rPr>
          <w:rFonts w:ascii="Arial" w:cs="Arial" w:eastAsia="Arial" w:hAnsi="Arial"/>
          <w:b/>
          <w:bCs/>
          <w:i w:val="false"/>
          <w:iCs w:val="false"/>
          <w:sz w:val="22"/>
          <w:szCs w:val="22"/>
        </w:rPr>
        <w:t xml:space="preserve">P3/GVI (Community / Structural Frame):</w:t>
      </w:r>
      <w:r>
        <w:rPr>
          <w:rFonts w:ascii="Arial" w:cs="Arial" w:eastAsia="Arial" w:hAnsi="Arial"/>
          <w:b w:val="false"/>
          <w:bCs w:val="false"/>
          <w:i w:val="false"/>
          <w:iCs w:val="false"/>
          <w:sz w:val="22"/>
          <w:szCs w:val="22"/>
        </w:rPr>
        <w:t xml:space="preserve"> FL.XXXIII Community Polity Structure / Ecclesial Architecture Law (Band 3). Some polity-structure as the community-scale architectural framework, with specific polity-forms held tradition-by-tradition.</w:t>
      </w:r>
    </w:p>
    <w:p>
      <w:pPr>
        <w:spacing w:after="160" w:line="300"/>
      </w:pPr>
      <w:r>
        <w:rPr>
          <w:rFonts w:ascii="Arial" w:cs="Arial" w:eastAsia="Arial" w:hAnsi="Arial"/>
          <w:b/>
          <w:bCs/>
          <w:i w:val="false"/>
          <w:iCs w:val="false"/>
          <w:sz w:val="22"/>
          <w:szCs w:val="22"/>
        </w:rPr>
        <w:t xml:space="preserve">P4/GVI (Generation / Structural Frame):</w:t>
      </w:r>
      <w:r>
        <w:rPr>
          <w:rFonts w:ascii="Arial" w:cs="Arial" w:eastAsia="Arial" w:hAnsi="Arial"/>
          <w:b w:val="false"/>
          <w:bCs w:val="false"/>
          <w:i w:val="false"/>
          <w:iCs w:val="false"/>
          <w:sz w:val="22"/>
          <w:szCs w:val="22"/>
        </w:rPr>
        <w:t xml:space="preserve"> FL.XXVIII Generational Nested Structure Law (Band 1). The nested-formation-envelope (individual→household→community→generation→tradition→eschatological people of God) as the inter-generational architectural framework.</w:t>
      </w:r>
    </w:p>
    <w:p>
      <w:pPr>
        <w:spacing w:after="160" w:line="300"/>
      </w:pPr>
      <w:r>
        <w:rPr>
          <w:rFonts w:ascii="Arial" w:cs="Arial" w:eastAsia="Arial" w:hAnsi="Arial"/>
          <w:b w:val="false"/>
          <w:bCs w:val="false"/>
          <w:i w:val="false"/>
          <w:iCs w:val="false"/>
          <w:sz w:val="22"/>
          <w:szCs w:val="22"/>
        </w:rPr>
        <w:t xml:space="preserve">The four Group VI Foundational Laws together hold the architectural-framework articulation at the major scales the catalog addresses, with each scale's distinct operational features articulated through the band-of-closeness articulation appropriate to the scale's tradition-acceptance and operational-form contestation. The pattern demonstrates the band-of-closeness clarification operating effectively across the Group VI cells, with Band 1 (FL.XXVIII), Band 2 (FL.XXXIV), and Band 3 (FL.XXIII and FL.XXXIII) admissions all functioning as Foundational tier articulations.</w:t>
      </w:r>
    </w:p>
    <w:p>
      <w:pPr>
        <w:spacing w:after="160" w:line="300"/>
      </w:pPr>
      <w:r>
        <w:rPr>
          <w:rFonts w:ascii="Arial" w:cs="Arial" w:eastAsia="Arial" w:hAnsi="Arial"/>
          <w:b/>
          <w:bCs/>
          <w:i w:val="false"/>
          <w:iCs w:val="false"/>
          <w:sz w:val="22"/>
          <w:szCs w:val="22"/>
        </w:rPr>
        <w:t xml:space="preserve">Period 1 / Group VI</w:t>
      </w:r>
      <w:r>
        <w:rPr>
          <w:rFonts w:ascii="Arial" w:cs="Arial" w:eastAsia="Arial" w:hAnsi="Arial"/>
          <w:b w:val="false"/>
          <w:bCs w:val="false"/>
          <w:i w:val="false"/>
          <w:iCs w:val="false"/>
          <w:sz w:val="22"/>
          <w:szCs w:val="22"/>
        </w:rPr>
        <w:t xml:space="preserve"> and </w:t>
      </w:r>
      <w:r>
        <w:rPr>
          <w:rFonts w:ascii="Arial" w:cs="Arial" w:eastAsia="Arial" w:hAnsi="Arial"/>
          <w:b/>
          <w:bCs/>
          <w:i w:val="false"/>
          <w:iCs w:val="false"/>
          <w:sz w:val="22"/>
          <w:szCs w:val="22"/>
        </w:rPr>
        <w:t xml:space="preserve">Period 5 / Group VI</w:t>
      </w:r>
      <w:r>
        <w:rPr>
          <w:rFonts w:ascii="Arial" w:cs="Arial" w:eastAsia="Arial" w:hAnsi="Arial"/>
          <w:b w:val="false"/>
          <w:bCs w:val="false"/>
          <w:i w:val="false"/>
          <w:iCs w:val="false"/>
          <w:sz w:val="22"/>
          <w:szCs w:val="22"/>
        </w:rPr>
        <w:t xml:space="preserve"> remain without Foundational entries. The Period 1 / Group VI territory (individual-scale structural frame) may not have a distinct Foundational-tier articulation since the individual-scale structural-frame work is held within FL.XVI Bondage Law's structural-frame dimension and FL.XV Hardening Law's structural-frame dimension at the P0/GV and P0/GI cells respectively, with the individual-scale architectural frame substantially derivative from the eternal-pattern structural-frame articulation. The Period 5 / Group VI territory is anticipated in subsequent revisions if Heavenly Worship Architecture or eschatological-architecture articulation surfaces at the Foundational-tier inclusion bar.</w:t>
      </w:r>
    </w:p>
    <w:p>
      <w:pPr>
        <w:spacing w:after="160" w:line="300"/>
      </w:pPr>
      <w:r>
        <w:rPr>
          <w:rFonts w:ascii="Arial" w:cs="Arial" w:eastAsia="Arial" w:hAnsi="Arial"/>
          <w:b w:val="false"/>
          <w:bCs w:val="false"/>
          <w:i w:val="false"/>
          <w:iCs w:val="false"/>
          <w:sz w:val="22"/>
          <w:szCs w:val="22"/>
        </w:rPr>
        <w:t xml:space="preserve">The Group VI architectural-framework pattern across scales is operationally important because it demonstrates the catalog's articulation reach at the structural-frame dimension of the corporate person-structure. The architectural envelope at each scale operates with its distinct operational features, but the principle (some structural-frame operates as architectural envelope conditioning the other operational dimensions) is held with substantial uniformity across the scales. The pattern parallels the body-of-Christ master-frame's articulation of the corporate-scale integrative identity at v5_6_0_11 — both structural articulations demonstrate the catalog's reach beyond the operational-dimension Foundational Laws into the structural articulation that holds those operational dimensions in unified operation.</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6 — Six Group Families Section Update</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Six Group Families section.</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Update the Group VI treatment.</w:t>
      </w:r>
    </w:p>
    <w:p>
      <w:pPr>
        <w:spacing w:after="160" w:line="300"/>
      </w:pPr>
      <w:r>
        <w:rPr>
          <w:rFonts w:ascii="Arial" w:cs="Arial" w:eastAsia="Arial" w:hAnsi="Arial"/>
          <w:b/>
          <w:bCs/>
          <w:i w:val="false"/>
          <w:iCs w:val="false"/>
          <w:sz w:val="22"/>
          <w:szCs w:val="22"/>
        </w:rPr>
        <w:t xml:space="preserve">Group VI addition:</w:t>
      </w:r>
    </w:p>
    <w:p>
      <w:pPr>
        <w:spacing w:after="160" w:line="300"/>
      </w:pPr>
      <w:r>
        <w:rPr>
          <w:rFonts w:ascii="Arial" w:cs="Arial" w:eastAsia="Arial" w:hAnsi="Arial"/>
          <w:b w:val="false"/>
          <w:bCs w:val="false"/>
          <w:i w:val="false"/>
          <w:iCs w:val="false"/>
          <w:sz w:val="22"/>
          <w:szCs w:val="22"/>
        </w:rPr>
        <w:t xml:space="preserve">The Period 2 Group VI cell now holds FL.XXXIV Marriage Covenant Architecture Law (v5_6_0_13 admission at Band 2). The dyadic pair-bond architecture has been the pending P2/GVI work since the v5_6_0_11 Q3 ratification established marriage as the primary candidate for the dyadic-scale architectural-framework admission. The v5_6_0_13 admission closes the P2/GVI under-population, with the Period 2 row now holding three Foundational entries (FL.V at GV, FL.XII at GV, FL.XXXIV at GVI). The Band 2 articulation is the catalog's first Band 2 admission; FL.XXIII and FL.XXXIII operate at Band 3, and FL.XXVIII at Band 1, with FL.XXXIV at Band 2 completing the band-of-closeness articulation's full range demonstration. The broader dyadic-pair-bond architectural territory beyond marriage is held within the FL.XXXIV chapter as related architectural forms with separate-admission potential preserved for subsequent revisions.</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7 — Closing Note Update</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"Closing Note on v5_6_0_12" section header.</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Update to "Closing Note on v5_6_0_13" and revise contents.</w:t>
      </w:r>
    </w:p>
    <w:p>
      <w:pPr>
        <w:spacing w:after="160" w:line="300"/>
      </w:pPr>
      <w:r>
        <w:rPr>
          <w:rFonts w:ascii="Arial" w:cs="Arial" w:eastAsia="Arial" w:hAnsi="Arial"/>
          <w:b/>
          <w:bCs/>
          <w:i w:val="false"/>
          <w:iCs w:val="false"/>
          <w:sz w:val="22"/>
          <w:szCs w:val="22"/>
        </w:rPr>
        <w:t xml:space="preserve">Replacement section in full:</w:t>
      </w:r>
    </w:p>
    <w:p>
      <w:pPr>
        <w:pStyle w:val="Heading3"/>
        <w:spacing w:after="160" w:before="240"/>
      </w:pPr>
      <w:r>
        <w:rPr>
          <w:rFonts w:ascii="Arial" w:cs="Arial" w:eastAsia="Arial" w:hAnsi="Arial"/>
          <w:b/>
          <w:bCs/>
          <w:sz w:val="26"/>
          <w:szCs w:val="26"/>
        </w:rPr>
        <w:t xml:space="preserve">Closing Note on v5_6_0_13</w:t>
      </w:r>
    </w:p>
    <w:p>
      <w:pPr>
        <w:spacing w:after="160" w:line="300"/>
      </w:pPr>
      <w:r>
        <w:rPr>
          <w:rFonts w:ascii="Arial" w:cs="Arial" w:eastAsia="Arial" w:hAnsi="Arial"/>
          <w:b w:val="false"/>
          <w:bCs w:val="false"/>
          <w:i w:val="false"/>
          <w:iCs w:val="false"/>
          <w:sz w:val="22"/>
          <w:szCs w:val="22"/>
        </w:rPr>
        <w:t xml:space="preserve">The present revision is the v5_6_0_13 focused single-admission pass at P2/GVI per the v5_6_0_12 Q1 ratification. The pass admits FL.XXXIV Marriage Covenant Architecture Law at Band 2 articulation, addressing the dyadic pair-bond architecture with marriage as the canonically-articulated primary case. The Vol 1 overview chapter is updated to v5_6_0_27 with the title moving from "Thirty-Three" to "Thirty-Four Operational Laws." The catalog at v5_6_0_13 holds 50 analyzed entries, 34 Foundational Laws, 9 Speculative ◆ entries, zero Open Unknowns, 1 anomaly, and 6 Vol 3 forward-references.</w:t>
      </w:r>
    </w:p>
    <w:p>
      <w:pPr>
        <w:spacing w:after="160" w:line="300"/>
      </w:pPr>
      <w:r>
        <w:rPr>
          <w:rFonts w:ascii="Arial" w:cs="Arial" w:eastAsia="Arial" w:hAnsi="Arial"/>
          <w:b w:val="false"/>
          <w:bCs w:val="false"/>
          <w:i w:val="false"/>
          <w:iCs w:val="false"/>
          <w:sz w:val="22"/>
          <w:szCs w:val="22"/>
        </w:rPr>
        <w:t xml:space="preserve">The Group VI architectural-framework work at the major scales is now substantially complete with the v5_6_0_13 admission of FL.XXXIV at P2/GVI. The four Group VI Foundational Laws (FL.XXIII at P0/GVI Band 3; FL.XXXIV at P2/GVI Band 2; FL.XXXIII at P3/GVI Band 3; FL.XXVIII at P4/GVI Band 1) together hold the architectural-framework articulation at the catalog's major scales, with the band-of-closeness articulation's full range demonstrated across the Group VI cells. The Period 1 / Group VI and Period 5 / Group VI cells remain without Foundational entries; the Period 1 / Group VI territory may not warrant separate Foundational admission since the individual-scale structural-frame work is held within other cells' articulations, while the Period 5 / Group VI territory may be addressed in subsequent revisions if Heavenly Worship Architecture or eschatological-architecture articulation surfaces.</w:t>
      </w:r>
    </w:p>
    <w:p>
      <w:pPr>
        <w:spacing w:after="160" w:line="300"/>
      </w:pPr>
      <w:r>
        <w:rPr>
          <w:rFonts w:ascii="Arial" w:cs="Arial" w:eastAsia="Arial" w:hAnsi="Arial"/>
          <w:b w:val="false"/>
          <w:bCs w:val="false"/>
          <w:i w:val="false"/>
          <w:iCs w:val="false"/>
          <w:sz w:val="22"/>
          <w:szCs w:val="22"/>
        </w:rPr>
        <w:t xml:space="preserve">The next revision (v5_6_0_14) is anticipated to begin Period 5 cosmic-eschatological territory work per the v5_6_0_11 Q4 and v5_6_0_12 Q4 ratifications. The Period 5 territory has been the largest remaining sparse-region in the catalog's scope since the v5_6_0_6 expansion pass identified it. Candidates anticipated for v5_6_0_14 attention include: Heavenly Worship Architecture (Rev. 4–5, related to FL.XXXII Communal Worship Heart-Alignment's eschatological grounding at Heb. 12:22–24); Suffering-as-Formation Cosmic Companion (the cosmic-scale articulation of FL.XXII Endurance-Hope's parent-child relationship); apocalyptic-imagination material (the eschatological-imagination work the apocalyptic literature addresses); eschatological-people-of-God scale (related to FL.XXVIII Generational Nested Structure Law's outermost scale).</w:t>
      </w:r>
    </w:p>
    <w:p>
      <w:pPr>
        <w:spacing w:after="160" w:line="300"/>
      </w:pPr>
      <w:r>
        <w:rPr>
          <w:rFonts w:ascii="Arial" w:cs="Arial" w:eastAsia="Arial" w:hAnsi="Arial"/>
          <w:b w:val="false"/>
          <w:bCs w:val="false"/>
          <w:i w:val="false"/>
          <w:iCs w:val="false"/>
          <w:sz w:val="22"/>
          <w:szCs w:val="22"/>
        </w:rPr>
        <w:t xml:space="preserve">The expansion arc's cumulative achievement deserves explicit observation. Twenty-one new Foundational Laws across nine revisions (v5_6_0_5 through v5_6_0_13), with the Foundational tier growing from thirteen at v5_6_0_4 to thirty-four at v5_6_0_13, represents the catalog's most substantial sustained development to date. The v5_6_0_5 architecture continues to accommodate the expansion without modification. The band-of-closeness clarification has demonstrated its full range across Band 1, Band 2, and Band 3 admissions, with the structural articulation's effective operation at the principle-vs-command edge cases. The body-of-Christ master-frame integrated at v5_6_0_11 continues to operate as the catalog's structural articulation of the corporate-scale integrative identity. The Period 3 row's structural-completion at v5_6_0_12 and the Group VI architectural-framework's substantial completion at v5_6_0_13 represent significant catalog milestones in the community-scale and structural-frame articulation work.</w:t>
      </w:r>
    </w:p>
    <w:p>
      <w:r>
        <w:br w:type="page"/>
      </w:r>
    </w:p>
    <w:p>
      <w:pPr>
        <w:pStyle w:val="Heading1"/>
        <w:spacing w:after="240" w:before="360"/>
      </w:pPr>
      <w:r>
        <w:rPr>
          <w:rFonts w:ascii="Arial" w:cs="Arial" w:eastAsia="Arial" w:hAnsi="Arial"/>
          <w:b/>
          <w:bCs/>
          <w:sz w:val="36"/>
          <w:szCs w:val="36"/>
        </w:rPr>
        <w:t xml:space="preserve">Section D · Residual Key Questions for v5_6_0_14</w:t>
      </w:r>
    </w:p>
    <w:p>
      <w:pPr>
        <w:spacing w:after="160" w:line="300"/>
      </w:pPr>
      <w:r>
        <w:rPr>
          <w:rFonts w:ascii="Arial" w:cs="Arial" w:eastAsia="Arial" w:hAnsi="Arial"/>
          <w:b w:val="false"/>
          <w:bCs w:val="false"/>
          <w:i w:val="false"/>
          <w:iCs w:val="false"/>
          <w:sz w:val="22"/>
          <w:szCs w:val="22"/>
        </w:rPr>
        <w:t xml:space="preserve">The v5_6_0_13 revision closes with four residual key questions for v5_6_0_14 attention as the catalog begins Period 5 cosmic-eschatological territory work. Each question has a working judgment in italics that you may ratify or counter-propose.</w:t>
      </w:r>
    </w:p>
    <w:p>
      <w:pPr>
        <w:pStyle w:val="Heading2"/>
        <w:spacing w:after="160" w:before="240"/>
      </w:pPr>
      <w:r>
        <w:rPr>
          <w:rFonts w:ascii="Arial" w:cs="Arial" w:eastAsia="Arial" w:hAnsi="Arial"/>
          <w:b/>
          <w:bCs/>
          <w:sz w:val="30"/>
          <w:szCs w:val="30"/>
        </w:rPr>
        <w:t xml:space="preserve">Q1 — Period 5 Scope: Focused or Multi-Candidate</w:t>
      </w:r>
    </w:p>
    <w:p>
      <w:pPr>
        <w:spacing w:after="160" w:line="300"/>
      </w:pPr>
      <w:r>
        <w:rPr>
          <w:rFonts w:ascii="Arial" w:cs="Arial" w:eastAsia="Arial" w:hAnsi="Arial"/>
          <w:b w:val="false"/>
          <w:bCs w:val="false"/>
          <w:i w:val="false"/>
          <w:iCs w:val="false"/>
          <w:sz w:val="22"/>
          <w:szCs w:val="22"/>
        </w:rPr>
        <w:t xml:space="preserve">Period 5 has been the largest remaining sparse-region in the catalog's scope since the v5_6_0_6 expansion pass identified it. Should v5_6_0_14 be a focused single-admission pass at the most canonically-articulated Period 5 candidate, or should it be a multi-candidate expansion pass surfacing the breadth of Period 5 territory?</w:t>
      </w:r>
    </w:p>
    <w:p>
      <w:pPr>
        <w:spacing w:after="160" w:line="300"/>
      </w:pPr>
      <w:r>
        <w:rPr>
          <w:rFonts w:ascii="Arial" w:cs="Arial" w:eastAsia="Arial" w:hAnsi="Arial"/>
          <w:b/>
          <w:bCs/>
          <w:i/>
          <w:iCs/>
          <w:sz w:val="22"/>
          <w:szCs w:val="22"/>
        </w:rPr>
        <w:t xml:space="preserve">Working judgment: focused single-admission for v5_6_0_14, with multi-candidate expansion pass anticipated at v5_6_0_15 or later.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Period 5 cosmic-eschatological territory is genuinely large but the catalog's established expansion-pass methodology favors focused work before broad expansion. A focused v5_6_0_14 admission would address the most canonically-articulated candidate and establish the operational features the Period 5 row requires for subsequent multi-candidate work. The pattern parallels v5_6_0_12's focused work before v5_6_0_15-and-beyond expansion at the Group VI middle scales.</w:t>
      </w:r>
    </w:p>
    <w:p>
      <w:pPr>
        <w:pStyle w:val="Heading2"/>
        <w:spacing w:after="160" w:before="240"/>
      </w:pPr>
      <w:r>
        <w:rPr>
          <w:rFonts w:ascii="Arial" w:cs="Arial" w:eastAsia="Arial" w:hAnsi="Arial"/>
          <w:b/>
          <w:bCs/>
          <w:sz w:val="30"/>
          <w:szCs w:val="30"/>
        </w:rPr>
        <w:t xml:space="preserve">Q2 — Primary v5_6_0_14 Candidate</w:t>
      </w:r>
    </w:p>
    <w:p>
      <w:pPr>
        <w:spacing w:after="160" w:line="300"/>
      </w:pPr>
      <w:r>
        <w:rPr>
          <w:rFonts w:ascii="Arial" w:cs="Arial" w:eastAsia="Arial" w:hAnsi="Arial"/>
          <w:b w:val="false"/>
          <w:bCs w:val="false"/>
          <w:i w:val="false"/>
          <w:iCs w:val="false"/>
          <w:sz w:val="22"/>
          <w:szCs w:val="22"/>
        </w:rPr>
        <w:t xml:space="preserve">Four candidates have been identified for Period 5 attention: (a) Heavenly Worship Architecture (Rev. 4–5, related to FL.XXXII's eschatological grounding); (b) Suffering-as-Formation Cosmic Companion (cosmic-scale articulation of FL.XXII's parent-child relationship); (c) apocalyptic-imagination material (the eschatological-imagination work); (d) eschatological-people-of-God scale (related to FL.XXVIII's outermost scale). Which candidate should v5_6_0_14 prioritize?</w:t>
      </w:r>
    </w:p>
    <w:p>
      <w:pPr>
        <w:spacing w:after="160" w:line="300"/>
      </w:pPr>
      <w:r>
        <w:rPr>
          <w:rFonts w:ascii="Arial" w:cs="Arial" w:eastAsia="Arial" w:hAnsi="Arial"/>
          <w:b/>
          <w:bCs/>
          <w:i/>
          <w:iCs/>
          <w:sz w:val="22"/>
          <w:szCs w:val="22"/>
        </w:rPr>
        <w:t xml:space="preserve">Working judgment: Heavenly Worship Architecture as v5_6_0_14 primary candidate.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Heavenly Worship Architecture has the strongest multi-author scriptural support across the Period 5 candidate field (Rev. 4–5 with the four living creatures and twenty-four elders worship; Heb. 12:22–24's "you have come to Mount Zion … to innumerable angels in festal gathering"; Isa. 6 throne-room vision; Ezek. 1 and 10 cherubim-and-throne vision; Dan. 7 Ancient-of-Days and Son-of-Man scene; the broader apocalyptic-and-prophetic theophany corpus). The candidate has strong operational connection to the existing catalog (FL.XXXII Communal Worship Heart-Alignment's eschatological grounding) which makes it operationally well-positioned for first Period 5 admission. The candidate's placement would be P5/GII (Cosmic-Eschatological / Heart) per the worship character of the territory, possibly P5/GI (Spirit) per the spirit-character of the heavenly worship's participants. Counter-propose if you prefer a different primary candidate.</w:t>
      </w:r>
    </w:p>
    <w:p>
      <w:pPr>
        <w:pStyle w:val="Heading2"/>
        <w:spacing w:after="160" w:before="240"/>
      </w:pPr>
      <w:r>
        <w:rPr>
          <w:rFonts w:ascii="Arial" w:cs="Arial" w:eastAsia="Arial" w:hAnsi="Arial"/>
          <w:b/>
          <w:bCs/>
          <w:sz w:val="30"/>
          <w:szCs w:val="30"/>
        </w:rPr>
        <w:t xml:space="preserve">Q3 — Period 5 Placement Methodology</w:t>
      </w:r>
    </w:p>
    <w:p>
      <w:pPr>
        <w:spacing w:after="160" w:line="300"/>
      </w:pPr>
      <w:r>
        <w:rPr>
          <w:rFonts w:ascii="Arial" w:cs="Arial" w:eastAsia="Arial" w:hAnsi="Arial"/>
          <w:b w:val="false"/>
          <w:bCs w:val="false"/>
          <w:i w:val="false"/>
          <w:iCs w:val="false"/>
          <w:sz w:val="22"/>
          <w:szCs w:val="22"/>
        </w:rPr>
        <w:t xml:space="preserve">The Period 5 row's Group placement methodology has not been substantially exercised in the catalog's prior expansion work. The existing Period 5 entries (which the v5_6_0_5 architecture established) are sparsely distributed and the placement principles for Period 5 candidates have not been articulated at the operational depth the other Periods have received. Should v5_6_0_14 include explicit Period 5 placement methodology articulation, or should the placement be made on the candidate's operational features without dedicated methodology articulation?</w:t>
      </w:r>
    </w:p>
    <w:p>
      <w:pPr>
        <w:spacing w:after="160" w:line="300"/>
      </w:pPr>
      <w:r>
        <w:rPr>
          <w:rFonts w:ascii="Arial" w:cs="Arial" w:eastAsia="Arial" w:hAnsi="Arial"/>
          <w:b/>
          <w:bCs/>
          <w:i/>
          <w:iCs/>
          <w:sz w:val="22"/>
          <w:szCs w:val="22"/>
        </w:rPr>
        <w:t xml:space="preserve">Working judgment: include explicit Period 5 placement methodology articulation as part of v5_6_0_14.</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Period 5 cosmic-eschatological scale operates with distinct operational features that warrant explicit methodology articulation. The placement methodology articulation could be parallel to the v5_6_0_11 corporate person-structure scriptural-definition document's articulation of corporate-scale Group placement at Period 3. The Period 5 placement methodology would address: how the Group designations operate at the cosmic-eschatological scale (does Heavenly Spirit operate similarly to Corporate Spirit?); how the cosmic-eschatological scale relates to the other Periods (parent-child relationships; scale-invariance of certain laws); how the apocalyptic-and-eschatological literature's distinctive operational features are accommodated.</w:t>
      </w:r>
    </w:p>
    <w:p>
      <w:pPr>
        <w:pStyle w:val="Heading2"/>
        <w:spacing w:after="160" w:before="240"/>
      </w:pPr>
      <w:r>
        <w:rPr>
          <w:rFonts w:ascii="Arial" w:cs="Arial" w:eastAsia="Arial" w:hAnsi="Arial"/>
          <w:b/>
          <w:bCs/>
          <w:sz w:val="30"/>
          <w:szCs w:val="30"/>
        </w:rPr>
        <w:t xml:space="preserve">Q4 — Other Underpopulated Cells Timing</w:t>
      </w:r>
    </w:p>
    <w:p>
      <w:pPr>
        <w:spacing w:after="160" w:line="300"/>
      </w:pPr>
      <w:r>
        <w:rPr>
          <w:rFonts w:ascii="Arial" w:cs="Arial" w:eastAsia="Arial" w:hAnsi="Arial"/>
          <w:b w:val="false"/>
          <w:bCs w:val="false"/>
          <w:i w:val="false"/>
          <w:iCs w:val="false"/>
          <w:sz w:val="22"/>
          <w:szCs w:val="22"/>
        </w:rPr>
        <w:t xml:space="preserve">The Period 0 / Groups II and III (Eternal-Pattern / Heart, Soul) and Period 2 / Groups I, II, III, IV (Dyadic / Spirit, Heart, Soul, Mind) cells remain without Foundational entries. Should these be addressed before or after Period 5 work? Should they be addressed in subsequent revisions, or held as legitimate sparsenesses the catalog accepts?</w:t>
      </w:r>
    </w:p>
    <w:p>
      <w:pPr>
        <w:spacing w:after="160" w:line="300"/>
      </w:pPr>
      <w:r>
        <w:rPr>
          <w:rFonts w:ascii="Arial" w:cs="Arial" w:eastAsia="Arial" w:hAnsi="Arial"/>
          <w:b/>
          <w:bCs/>
          <w:i/>
          <w:iCs/>
          <w:sz w:val="22"/>
          <w:szCs w:val="22"/>
        </w:rPr>
        <w:t xml:space="preserve">Working judgment: after Period 5 substantial work, with case-by-case evaluation rather than systematic expansion.</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Period 5 is the largest sparse-region in the catalog and has been sequenced for early attention since v5_6_0_11 Q4. The other under-populated cells should be evaluated case-by-case after Period 5 substantial work — some may have candidates that emerge from the broader corpus expansion, while others may be legitimate sparsenesses (some scale-and-Group combinations may not have distinct Foundational-tier operational articulation). The catalog's conservative-inclusion bias suggests evaluating each cell on its candidate field rather than systematically attempting to fill all cells.</w:t>
      </w:r>
    </w:p>
    <w:p>
      <w:r>
        <w:br w:type="page"/>
      </w:r>
    </w:p>
    <w:p>
      <w:pPr>
        <w:pStyle w:val="Heading1"/>
        <w:spacing w:after="240" w:before="360"/>
      </w:pPr>
      <w:r>
        <w:rPr>
          <w:rFonts w:ascii="Arial" w:cs="Arial" w:eastAsia="Arial" w:hAnsi="Arial"/>
          <w:b/>
          <w:bCs/>
          <w:sz w:val="36"/>
          <w:szCs w:val="36"/>
        </w:rPr>
        <w:t xml:space="preserve">Section E · Closing Note</w:t>
      </w:r>
    </w:p>
    <w:p>
      <w:pPr>
        <w:spacing w:after="160" w:line="300"/>
      </w:pPr>
      <w:r>
        <w:rPr>
          <w:rFonts w:ascii="Arial" w:cs="Arial" w:eastAsia="Arial" w:hAnsi="Arial"/>
          <w:b w:val="false"/>
          <w:bCs w:val="false"/>
          <w:i w:val="false"/>
          <w:iCs w:val="false"/>
          <w:sz w:val="22"/>
          <w:szCs w:val="22"/>
        </w:rPr>
        <w:t xml:space="preserve">The v5_6_0_13 revision admits FL.XXXIV Marriage Covenant Architecture Law at Band 2 articulation, closing the P2/GVI under-population and substantially completing the Group VI architectural-framework work at the major scales. The catalog's band-of-closeness clarification has demonstrated its full range across Band 1, Band 2, and Band 3 admissions; the structural articulation has accommodated the band-of-closeness range without requiring architectural modification.</w:t>
      </w:r>
    </w:p>
    <w:p>
      <w:pPr>
        <w:spacing w:after="160" w:line="300"/>
      </w:pPr>
      <w:r>
        <w:rPr>
          <w:rFonts w:ascii="Arial" w:cs="Arial" w:eastAsia="Arial" w:hAnsi="Arial"/>
          <w:b w:val="false"/>
          <w:bCs w:val="false"/>
          <w:i w:val="false"/>
          <w:iCs w:val="false"/>
          <w:sz w:val="22"/>
          <w:szCs w:val="22"/>
        </w:rPr>
        <w:t xml:space="preserve">The expansion arc's cumulative achievement across v5_6_0_5 through v5_6_0_13 — twenty-one new Foundational Laws across nine revisions, with the Foundational tier growing from thirteen at v5_6_0_4 to thirty-four at v5_6_0_13 — represents the catalog's most substantial sustained development to date. The v5_6_0_5 architecture continues to accommodate the entire expansion without modification.</w:t>
      </w:r>
    </w:p>
    <w:p>
      <w:pPr>
        <w:spacing w:after="160" w:line="300"/>
      </w:pPr>
      <w:r>
        <w:rPr>
          <w:rFonts w:ascii="Arial" w:cs="Arial" w:eastAsia="Arial" w:hAnsi="Arial"/>
          <w:b w:val="false"/>
          <w:bCs w:val="false"/>
          <w:i w:val="false"/>
          <w:iCs w:val="false"/>
          <w:sz w:val="22"/>
          <w:szCs w:val="22"/>
        </w:rPr>
        <w:t xml:space="preserve">Two significant milestones in the catalog's development have been reached during the expansion arc: the Period 3 row's structural-completion at v5_6_0_12 (the first row to hold Foundational entries across all six Groups simultaneously), and the Group VI architectural-framework's substantial completion at v5_6_0_13 (four major scales with Group VI Foundational coverage and the band-of-closeness range demonstrated). The body-of-Christ master-frame integrated at v5_6_0_11 continues to operate as the catalog's structural articulation of the corporate-scale integrative identity.</w:t>
      </w:r>
    </w:p>
    <w:p>
      <w:pPr>
        <w:spacing w:after="160" w:line="300"/>
      </w:pPr>
      <w:r>
        <w:rPr>
          <w:rFonts w:ascii="Arial" w:cs="Arial" w:eastAsia="Arial" w:hAnsi="Arial"/>
          <w:b w:val="false"/>
          <w:bCs w:val="false"/>
          <w:i w:val="false"/>
          <w:iCs w:val="false"/>
          <w:sz w:val="22"/>
          <w:szCs w:val="22"/>
        </w:rPr>
        <w:t xml:space="preserve">The next revision (v5_6_0_14) is anticipated to begin Period 5 cosmic-eschatological territory work with Heavenly Worship Architecture as the primary candidate per the working judgment above. The Period 5 work is the most substantial remaining sparse-territory in the catalog's scope and will require methodology articulation parallel to the corporate person-structure scriptural-definition document's work at the corporate scale.</w:t>
      </w:r>
    </w:p>
    <w:p>
      <w:pPr>
        <w:spacing w:after="160" w:line="300"/>
      </w:pPr>
      <w:r>
        <w:rPr>
          <w:rFonts w:ascii="Arial" w:cs="Arial" w:eastAsia="Arial" w:hAnsi="Arial"/>
          <w:b w:val="false"/>
          <w:bCs w:val="false"/>
          <w:i w:val="false"/>
          <w:iCs w:val="false"/>
          <w:sz w:val="22"/>
          <w:szCs w:val="22"/>
        </w:rPr>
        <w:t xml:space="preserve">Awaiting your ratification of the four residual key questions for v5_6_0_14.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30"/>
      <w:szCs w:val="30"/>
    </w:rPr>
  </w:style>
  <w:style w:type="paragraph" w:styleId="Heading3">
    <w:name w:val="Heading 3"/>
    <w:basedOn w:val="Normal"/>
    <w:next w:val="Normal"/>
    <w:qFormat/>
    <w:pPr>
      <w:spacing w:after="120" w:before="240"/>
      <w:outlineLvl w:val="2"/>
    </w:pPr>
    <w:rPr>
      <w:rFonts w:ascii="Arial" w:cs="Arial" w:eastAsia="Arial" w:hAnsi="Arial"/>
      <w:b/>
      <w:bCs/>
      <w:sz w:val="26"/>
      <w:szCs w:val="26"/>
    </w:rPr>
  </w:style>
  <w:style w:type="paragraph" w:styleId="Heading4">
    <w:name w:val="Heading 4"/>
    <w:basedOn w:val="Normal"/>
    <w:next w:val="Normal"/>
    <w:qFormat/>
    <w:pPr>
      <w:spacing w:after="120" w:before="200"/>
      <w:outlineLvl w:val="3"/>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2026-05-21T22:56:13.283Z</dcterms:created>
  <dcterms:modified xsi:type="dcterms:W3CDTF">2026-05-21T22:56:13.284Z</dcterms:modified>
</cp:coreProperties>
</file>

<file path=docProps/custom.xml><?xml version="1.0" encoding="utf-8"?>
<Properties xmlns="http://schemas.openxmlformats.org/officeDocument/2006/custom-properties" xmlns:vt="http://schemas.openxmlformats.org/officeDocument/2006/docPropsVTypes"/>
</file>