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6"/>
          <w:szCs w:val="36"/>
        </w:rPr>
        <w:t xml:space="preserve">Intentional Journey of the Heart</w:t>
      </w:r>
    </w:p>
    <w:p>
      <w:pPr>
        <w:spacing w:after="240"/>
        <w:jc w:val="center"/>
      </w:pPr>
      <w:r>
        <w:rPr>
          <w:rFonts w:ascii="Arial" w:cs="Arial" w:eastAsia="Arial" w:hAnsi="Arial"/>
          <w:b/>
          <w:bCs/>
          <w:sz w:val="32"/>
          <w:szCs w:val="32"/>
        </w:rPr>
        <w:t xml:space="preserve">Volume 5: The Spiritual Periodic Table</w:t>
      </w:r>
    </w:p>
    <w:p>
      <w:pPr>
        <w:spacing w:after="480"/>
        <w:jc w:val="center"/>
      </w:pPr>
      <w:r>
        <w:rPr>
          <w:rFonts w:ascii="Arial" w:cs="Arial" w:eastAsia="Arial" w:hAnsi="Arial"/>
          <w:i/>
          <w:iCs/>
          <w:sz w:val="26"/>
          <w:szCs w:val="26"/>
        </w:rPr>
        <w:t xml:space="preserve">v5_6_0_12 Implementation Bundle</w:t>
      </w:r>
    </w:p>
    <w:p>
      <w:pPr>
        <w:spacing w:after="80"/>
        <w:jc w:val="center"/>
      </w:pPr>
      <w:r>
        <w:rPr>
          <w:rFonts w:ascii="Arial" w:cs="Arial" w:eastAsia="Arial" w:hAnsi="Arial"/>
          <w:sz w:val="22"/>
          <w:szCs w:val="22"/>
        </w:rPr>
        <w:t xml:space="preserve">The Period 3 Group VI Admission</w:t>
      </w:r>
    </w:p>
    <w:p>
      <w:pPr>
        <w:spacing w:after="80"/>
        <w:jc w:val="center"/>
      </w:pPr>
      <w:r>
        <w:rPr>
          <w:rFonts w:ascii="Arial" w:cs="Arial" w:eastAsia="Arial" w:hAnsi="Arial"/>
          <w:sz w:val="22"/>
          <w:szCs w:val="22"/>
        </w:rPr>
        <w:t xml:space="preserve">FL.XXXIII Community Polity Structure Law</w:t>
      </w:r>
    </w:p>
    <w:p>
      <w:pPr>
        <w:spacing w:after="80"/>
        <w:jc w:val="center"/>
      </w:pPr>
      <w:r>
        <w:rPr>
          <w:rFonts w:ascii="Arial" w:cs="Arial" w:eastAsia="Arial" w:hAnsi="Arial"/>
          <w:sz w:val="22"/>
          <w:szCs w:val="22"/>
        </w:rPr>
        <w:t xml:space="preserve">Band 3 Articulation Parallel to FL.XXIII</w:t>
      </w:r>
    </w:p>
    <w:p>
      <w:pPr>
        <w:spacing w:after="480"/>
        <w:jc w:val="center"/>
      </w:pPr>
      <w:r>
        <w:rPr>
          <w:rFonts w:ascii="Arial" w:cs="Arial" w:eastAsia="Arial" w:hAnsi="Arial"/>
          <w:sz w:val="22"/>
          <w:szCs w:val="22"/>
        </w:rPr>
        <w:t xml:space="preserve">Period 3 Row Structural-Completion Milestone</w:t>
      </w:r>
    </w:p>
    <w:p>
      <w:pPr>
        <w:spacing w:after="120"/>
        <w:jc w:val="center"/>
      </w:pPr>
      <w:r>
        <w:rPr>
          <w:rFonts w:ascii="Arial" w:cs="Arial" w:eastAsia="Arial" w:hAnsi="Arial"/>
          <w:sz w:val="22"/>
          <w:szCs w:val="22"/>
        </w:rPr>
        <w:t xml:space="preserve">Prepared for John G. Tittle</w:t>
      </w:r>
    </w:p>
    <w:p>
      <w:pPr>
        <w:spacing w:after="720"/>
        <w:jc w:val="center"/>
      </w:pPr>
      <w:r>
        <w:rPr>
          <w:rFonts w:ascii="Arial" w:cs="Arial" w:eastAsia="Arial" w:hAnsi="Arial"/>
          <w:sz w:val="22"/>
          <w:szCs w:val="22"/>
        </w:rPr>
        <w:t xml:space="preserve">May 21, 2026</w:t>
      </w:r>
    </w:p>
    <w:p>
      <w:r>
        <w:br w:type="page"/>
      </w:r>
    </w:p>
    <w:p>
      <w:pPr>
        <w:pStyle w:val="Heading1"/>
        <w:spacing w:after="240" w:before="360"/>
      </w:pPr>
      <w:r>
        <w:rPr>
          <w:rFonts w:ascii="Arial" w:cs="Arial" w:eastAsia="Arial" w:hAnsi="Arial"/>
          <w:b/>
          <w:bCs/>
          <w:sz w:val="36"/>
          <w:szCs w:val="36"/>
        </w:rPr>
        <w:t xml:space="preserve">Implementation Overview</w:t>
      </w:r>
    </w:p>
    <w:p>
      <w:pPr>
        <w:spacing w:after="160" w:line="300"/>
      </w:pPr>
      <w:r>
        <w:rPr>
          <w:rFonts w:ascii="Arial" w:cs="Arial" w:eastAsia="Arial" w:hAnsi="Arial"/>
          <w:b w:val="false"/>
          <w:bCs w:val="false"/>
          <w:i w:val="false"/>
          <w:iCs w:val="false"/>
          <w:sz w:val="22"/>
          <w:szCs w:val="22"/>
        </w:rPr>
        <w:t xml:space="preserve">This Word document holds the complete v5_6_0_12 implementation bundle — the focused single-admission pass at Period 3 / Group VI per the v5_6_0_11 Q1 ratification. The revision admits one Foundational Law (FL.XXXIII Community Polity Structure / Ecclesial Architecture Law) at Band 3 articulation, closing the P3/GVI under-population that has been pending since v5_6_0_8 and producing the Period 3 community-scale row's first complete Foundational coverage across all six Groups in the catalog's history.</w:t>
      </w:r>
    </w:p>
    <w:p>
      <w:pPr>
        <w:spacing w:after="160" w:line="300"/>
      </w:pPr>
      <w:r>
        <w:rPr>
          <w:rFonts w:ascii="Arial" w:cs="Arial" w:eastAsia="Arial" w:hAnsi="Arial"/>
          <w:b w:val="false"/>
          <w:bCs w:val="false"/>
          <w:i w:val="false"/>
          <w:iCs w:val="false"/>
          <w:sz w:val="22"/>
          <w:szCs w:val="22"/>
        </w:rPr>
        <w:t xml:space="preserve">The Band 3 admission parallels FL.XXIII Sabbath Rest Law's admission structure: the principle (some polity-structure operates as the architectural framework conditioning the community's operations) is admitted on its multi-author scriptural footing while the specific polity-form (episcopal, presbyterian, congregational, charismatic-led, gathered-church, hybrid arrangements) is explicitly held as tradition-by-tradition theological work rather than catalog-arbitrated articulation. The Band 3 admission demonstrates the catalog's band-of-closeness clarification operating effectively at the principle-vs-command edge case.</w:t>
      </w:r>
    </w:p>
    <w:p>
      <w:pPr>
        <w:spacing w:after="160" w:line="300"/>
      </w:pPr>
      <w:r>
        <w:rPr>
          <w:rFonts w:ascii="Arial" w:cs="Arial" w:eastAsia="Arial" w:hAnsi="Arial"/>
          <w:b w:val="false"/>
          <w:bCs w:val="false"/>
          <w:i w:val="false"/>
          <w:iCs w:val="false"/>
          <w:sz w:val="22"/>
          <w:szCs w:val="22"/>
        </w:rPr>
        <w:t xml:space="preserve">The catalog at v5_6_0_12 holds 49 analyzed entries, 33 Foundational Laws (up from 32), 9 Speculative entries (unchanged), zero Open Unknowns (unchanged), 1 anomaly (V2.Exp10 now alongside FL.XXXIII at the same cell), and 6 Vol 3 forward-references. The Vol 1 overview is updated to v5_6_0_26 "Thirty-Three Operational Laws." The expansion arc spanning v5_6_0_5 through v5_6_0_12 — twenty new Foundational Laws across eight revisions — continues to operate within the architecture established at v5_6_0_5 without requiring modification.</w:t>
      </w:r>
    </w:p>
    <w:p>
      <w:r>
        <w:br w:type="page"/>
      </w:r>
    </w:p>
    <w:p>
      <w:pPr>
        <w:pStyle w:val="Heading1"/>
        <w:spacing w:after="240" w:before="360"/>
      </w:pPr>
      <w:r>
        <w:rPr>
          <w:rFonts w:ascii="Arial" w:cs="Arial" w:eastAsia="Arial" w:hAnsi="Arial"/>
          <w:b/>
          <w:bCs/>
          <w:sz w:val="36"/>
          <w:szCs w:val="36"/>
        </w:rPr>
        <w:t xml:space="preserve">Section A · FL.XXXIII Community Polity Structure / Ecclesial Architecture Law</w:t>
      </w:r>
    </w:p>
    <w:p>
      <w:pPr>
        <w:spacing w:after="160" w:line="300"/>
      </w:pPr>
      <w:r>
        <w:rPr>
          <w:rFonts w:ascii="Arial" w:cs="Arial" w:eastAsia="Arial" w:hAnsi="Arial"/>
          <w:b w:val="false"/>
          <w:bCs w:val="false"/>
          <w:i w:val="false"/>
          <w:iCs w:val="false"/>
          <w:sz w:val="22"/>
          <w:szCs w:val="22"/>
        </w:rPr>
        <w:t xml:space="preserve">The new Foundational Law chapter follows. The chapter holds the full articulation of the law's scriptural ground, mechanism, and inclusion-bar reasoning, with the bold Proposed Law statement, italicized Mirror articulation, italicized Certainty rationale, and forward link at the chapter close. The Band 3 articulation receives explicit treatment in a dedicated portion of the chapter parallel to FL.XXIII Sabbath Rest Law's principle-from-commandment sub-section.</w:t>
      </w:r>
    </w:p>
    <w:p>
      <w:r>
        <w:br w:type="page"/>
      </w:r>
    </w:p>
    <w:p>
      <w:pPr>
        <w:pStyle w:val="Heading1"/>
        <w:spacing w:after="240" w:before="360"/>
      </w:pPr>
      <w:r>
        <w:rPr>
          <w:rFonts w:ascii="Arial" w:cs="Arial" w:eastAsia="Arial" w:hAnsi="Arial"/>
          <w:b/>
          <w:bCs/>
          <w:sz w:val="36"/>
          <w:szCs w:val="36"/>
        </w:rPr>
        <w:t xml:space="preserve">Foundational Law XXXIII: The Community Polity Structure / Ecclesial Architecture Law</w:t>
      </w:r>
    </w:p>
    <w:p>
      <w:pPr>
        <w:spacing w:after="160" w:line="300"/>
      </w:pPr>
      <w:r>
        <w:rPr>
          <w:rFonts w:ascii="Arial" w:cs="Arial" w:eastAsia="Arial" w:hAnsi="Arial"/>
          <w:b w:val="false"/>
          <w:bCs w:val="false"/>
          <w:i w:val="false"/>
          <w:iCs w:val="false"/>
          <w:sz w:val="22"/>
          <w:szCs w:val="22"/>
        </w:rPr>
        <w:t xml:space="preserve">The thirty-third foundational law operates at the corporate-structural-frame scale and addresses an operational territory the catalog has held for dedicated attention since the v5_6_0_8 Q6 sequencing decision and the v5_6_0_11 Q2 working judgment: the architectural framework of polity-structure within which the gathered community's other operations are conducted. The community gathered into operational life under some polity-structure (the leader-follower-and-peer arrangements, the offices and their qualifications, the decision-making patterns, the institutional-continuity arrangements that hold the community across time) operates by that framework's operational features; the same gathered community under a different polity-structure would conduct its other operations differently. The polity-structure is not merely an administrative arrangement that can be modified without operational consequence; it is the architectural envelope within which the corporate-spirit's operations (FL.XX Gathered-Body Discernment), the corporate-heart's operations (FL.XXXII Communal Worship Heart-Alignment), the corporate-soul's operations (FL.XXIX Corporate Emotional Integration, FL.XXX Communal Soul-Care for the Wounded), the corporate-mind's operations (FL.XXXI Corporate Scriptural Reception), and the corporate-body's enacted operations (FL.XVIII Bitter-Root Community, FL.XXIV Confession-in-Community, FL.XXV Restoration-of-the-Erring) all occur, and the framework conditions the operations.</w:t>
      </w:r>
    </w:p>
    <w:p>
      <w:pPr>
        <w:spacing w:after="160" w:line="300"/>
      </w:pPr>
      <w:r>
        <w:rPr>
          <w:rFonts w:ascii="Arial" w:cs="Arial" w:eastAsia="Arial" w:hAnsi="Arial"/>
          <w:b w:val="false"/>
          <w:bCs w:val="false"/>
          <w:i w:val="false"/>
          <w:iCs w:val="false"/>
          <w:sz w:val="22"/>
          <w:szCs w:val="22"/>
        </w:rPr>
        <w:t xml:space="preserve">The law is admitted at the present revision as the v5_6_0_12 focused single-admission pass per the Q1 ratification at v5_6_0_11. The admission closes the Period 3 / Group VI under-population that has been the pending Group VI work since v5_6_0_8 — the cell previously held only the anomalous V2.Exp10 Skill Development, with no Foundational entries until the present admission. The Period 3 row now holds Foundational entries across all six Groups for the first time in the catalog's history, completing the community-scale operational frame's structural coverage at the Foundational tier.</w:t>
      </w:r>
    </w:p>
    <w:p>
      <w:pPr>
        <w:spacing w:after="160" w:line="300"/>
      </w:pPr>
      <w:r>
        <w:rPr>
          <w:rFonts w:ascii="Arial" w:cs="Arial" w:eastAsia="Arial" w:hAnsi="Arial"/>
          <w:b w:val="false"/>
          <w:bCs w:val="false"/>
          <w:i w:val="false"/>
          <w:iCs w:val="false"/>
          <w:sz w:val="22"/>
          <w:szCs w:val="22"/>
        </w:rPr>
        <w:t xml:space="preserve">The admission operates at </w:t>
      </w:r>
      <w:r>
        <w:rPr>
          <w:rFonts w:ascii="Arial" w:cs="Arial" w:eastAsia="Arial" w:hAnsi="Arial"/>
          <w:b/>
          <w:bCs/>
          <w:i w:val="false"/>
          <w:iCs w:val="false"/>
          <w:sz w:val="22"/>
          <w:szCs w:val="22"/>
        </w:rPr>
        <w:t xml:space="preserve">Band 3</w:t>
      </w:r>
      <w:r>
        <w:rPr>
          <w:rFonts w:ascii="Arial" w:cs="Arial" w:eastAsia="Arial" w:hAnsi="Arial"/>
          <w:b w:val="false"/>
          <w:bCs w:val="false"/>
          <w:i w:val="false"/>
          <w:iCs w:val="false"/>
          <w:sz w:val="22"/>
          <w:szCs w:val="22"/>
        </w:rPr>
        <w:t xml:space="preserve"> of the band-of-closeness clarification — the law is admitted on the strength of multi-author scriptural support for the principle, with the specific polity-forms (episcopal, presbyterian, congregational, charismatic-led, plural-elder, household-of-faith, and the various hybrid arrangements the church traditions hold) explicitly held as tradition-by-tradition theological work rather than catalog-arbitrated articulation. The Band 3 admission parallels FL.XXIII Sabbath Rest Law's admission structure: the principle is admitted on its multi-author scriptural footing while the specific operational forms remain tradition-by-tradition theological work. The catalog's articulation of the principle does not adjudicate among the polity-form traditions; it admits the operational reality that some polity-structure operates as the community's architectural framework while leaving the question of which specific polity-form is most faithful to the tradition-internal theological work the various traditions conduct.</w:t>
      </w:r>
    </w:p>
    <w:p>
      <w:pPr>
        <w:pStyle w:val="Heading2"/>
        <w:spacing w:after="160" w:before="240"/>
      </w:pPr>
      <w:r>
        <w:rPr>
          <w:rFonts w:ascii="Arial" w:cs="Arial" w:eastAsia="Arial" w:hAnsi="Arial"/>
          <w:b/>
          <w:bCs/>
          <w:sz w:val="30"/>
          <w:szCs w:val="30"/>
        </w:rPr>
        <w:t xml:space="preserve">Scriptural Ground</w:t>
      </w:r>
    </w:p>
    <w:p>
      <w:pPr>
        <w:spacing w:after="160" w:line="300"/>
      </w:pPr>
      <w:r>
        <w:rPr>
          <w:rFonts w:ascii="Arial" w:cs="Arial" w:eastAsia="Arial" w:hAnsi="Arial"/>
          <w:b w:val="false"/>
          <w:bCs w:val="false"/>
          <w:i w:val="false"/>
          <w:iCs w:val="false"/>
          <w:sz w:val="22"/>
          <w:szCs w:val="22"/>
        </w:rPr>
        <w:t xml:space="preserve">The scriptural witness for the law operates across two biblical authors with particular operational depth and supplementary witnesses across the broader canonical material. Luke holds the canonical Lukan articulation across the Acts material. The early church's first structural-architectural decision occurs at Acts 6:1–7 with the appointment of the seven: "Now in these days when the disciples were increasing in number, a complaint by the Hellenists arose against the Hebrews because their widows were being neglected in the daily distribution. And the twelve summoned the full number of the disciples and said, 'It is not right that we should give up preaching the word of God to serve tables. Therefore, brothers, pick out from among you seven men of good repute, full of the Spirit and of wisdom, whom we will appoint to this duty. But we will devote ourselves to prayer and to the ministry of the word.' And what they said pleased the whole gathering, and they chose Stephen, a man full of faith and the Holy Spirit, and Philip, and Prochorus, and Nicanor, and Timon, and Parmenas, and Nicolaus, a proselyte of Antioch. These they set before the apostles, and they prayed and laid their hands on them. And the word of God continued to increase, and the number of the disciples multiplied greatly in Jerusalem, and a great many of the priests became obedient to the faith." The Lukan articulation names the early church's first polity-structural decision under the pressure of operational need (the daily distribution's complaint produced by the community's growth), with the apostolic discernment producing the structural-architectural arrangement (the appointment of the seven to serve tables while the twelve continue at prayer and the ministry of the word). The operational features the Lukan articulation names: the polity-structural decision is made by the gathered community under apostolic leadership; the structure separates operational responsibilities (table-serving from word-and-prayer ministry); the structure is publicly affirmed (the pleasing of the whole gathering); the structure is sacramentally affirmed (the prayer and laying-on of hands); the structure produces operational consequences (the word's continued increase, the disciples' multiplication, the priests' conversion). The Lukan case is the canonical NT articulation of the polity-structure's operational genesis under apostolic discernment.</w:t>
      </w:r>
    </w:p>
    <w:p>
      <w:pPr>
        <w:spacing w:after="160" w:line="300"/>
      </w:pPr>
      <w:r>
        <w:rPr>
          <w:rFonts w:ascii="Arial" w:cs="Arial" w:eastAsia="Arial" w:hAnsi="Arial"/>
          <w:b w:val="false"/>
          <w:bCs w:val="false"/>
          <w:i w:val="false"/>
          <w:iCs w:val="false"/>
          <w:sz w:val="22"/>
          <w:szCs w:val="22"/>
        </w:rPr>
        <w:t xml:space="preserve">Luke holds the structural-extension articulation at Acts 14:23: "And when they had appointed elders for them in every church, with prayer and fasting they committed them to the Lord in whom they believed." The Pauline missionary practice as Luke reports it is operationally precise — the appointment of elders in every church is the structural-architectural arrangement Paul and Barnabas establish as part of the church-planting work, with the prayer and fasting as the sacramental affirmation. The "in every church" phrase is operationally consequential — the polity-structure is not optional or community-by-community; it is established in every church as the structural-architectural arrangement the church's operational life requires. Luke reports the same pattern at Acts 20:17 (Paul calling the Ephesian elders to Miletus) and Acts 20:28 (Paul's address: "Pay careful attention to yourselves and to all the flock, in which the Holy Spirit has made you overseers, to care for the church of God, which he obtained with his own blood"). The Holy-Spirit-has-made-you-overseers articulation grounds the polity-structure's authority in the Spirit's establishment rather than in merely-organizational arrangement, with the operational responsibility (caring for the flock) and the operational scope (the church of God obtained with his own blood) as the polity-structure's operational frame.</w:t>
      </w:r>
    </w:p>
    <w:p>
      <w:pPr>
        <w:spacing w:after="160" w:line="300"/>
      </w:pPr>
      <w:r>
        <w:rPr>
          <w:rFonts w:ascii="Arial" w:cs="Arial" w:eastAsia="Arial" w:hAnsi="Arial"/>
          <w:b w:val="false"/>
          <w:bCs w:val="false"/>
          <w:i w:val="false"/>
          <w:iCs w:val="false"/>
          <w:sz w:val="22"/>
          <w:szCs w:val="22"/>
        </w:rPr>
        <w:t xml:space="preserve">Luke holds the canonical articulation of the polity-structure under operational pressure at Acts 15:1–35 — the Jerusalem council. The pericope reports the council's structural-architectural operation: the local-church recognition of the dispute at Antioch (vv. 1–2); the deliberate delegation to Jerusalem for resolution (v. 2); the gathered apostolic-elder-church reception of Paul and Barnabas (vv. 4, 6, 12); the structured discussion (vv. 6–11 with Peter; v. 12 with Paul and Barnabas; vv. 13–21 with James); the corporate decision-making (vv. 22–29 with the apostles, elders, and the whole church); the letter's communication of the decision (vv. 22–29); the letter's reception at the affected churches (vv. 30–35 with the rejoicing at the exhortation). The Lukan case is the canonical NT articulation of the polity-structure's operational form for cross-church dispute resolution — the architectural framework holds the operational mechanisms (the local-to-regional escalation, the structured discussion, the corporate decision-making with the apostles and elders and whole-church participation, the communication of the decision, the affected-churches' reception) within which the dispute is resolved. The Acts 15 articulation establishes the polity-structure's reach beyond the local church to the regional-and-trans-regional arrangements the apostolic-period church's structural architecture included.</w:t>
      </w:r>
    </w:p>
    <w:p>
      <w:pPr>
        <w:spacing w:after="160" w:line="300"/>
      </w:pPr>
      <w:r>
        <w:rPr>
          <w:rFonts w:ascii="Arial" w:cs="Arial" w:eastAsia="Arial" w:hAnsi="Arial"/>
          <w:b w:val="false"/>
          <w:bCs w:val="false"/>
          <w:i w:val="false"/>
          <w:iCs w:val="false"/>
          <w:sz w:val="22"/>
          <w:szCs w:val="22"/>
        </w:rPr>
        <w:t xml:space="preserve">Paul holds the canonical Pauline articulation of the polity-structure's offices and their qualifications across 1 Tim. 3 and Titus 1. 1 Tim. 3:1–13 names the offices of overseer (ἐπίσκοπος, episkopos, vv. 1–7) and deacon (διάκονος, diakonos, vv. 8–13) with their qualifications. Titus 1:5–9 names the office of elder (πρεσβύτερος, presbyteros) with qualifications that overlap substantially with the 1 Tim. 3 overseer qualifications (with vv. 5 and 7 establishing the elder-and-overseer terminological connection in Pauline usage). The qualification lists are operationally important — they specify the operational character the polity-offices require, with the structural arrangements not merely organizational but qualified by the office-holders' operational fitness. The Pauline articulation establishes the polity-structure's operational requirements at the qualification-of-office-holders level.</w:t>
      </w:r>
    </w:p>
    <w:p>
      <w:pPr>
        <w:spacing w:after="160" w:line="300"/>
      </w:pPr>
      <w:r>
        <w:rPr>
          <w:rFonts w:ascii="Arial" w:cs="Arial" w:eastAsia="Arial" w:hAnsi="Arial"/>
          <w:b w:val="false"/>
          <w:bCs w:val="false"/>
          <w:i w:val="false"/>
          <w:iCs w:val="false"/>
          <w:sz w:val="22"/>
          <w:szCs w:val="22"/>
        </w:rPr>
        <w:t xml:space="preserve">Paul holds the canonical articulation of the polity-structural arrangement at Eph. 4:11–13: "And he gave the apostles, the prophets, the evangelists, the shepherds and teachers, to equip the saints for the work of ministry, for building up the body of Christ, until we all attain to the unity of the faith and of the knowledge of the Son of God, to mature manhood, to the measure of the stature of the fullness of Christ." The Pauline articulation establishes three operational features the Band 3 admission depends on. First, the polity-structural arrangements are Christ-given — "he gave the apostles, the prophets, the evangelists, the shepherds and teachers" names the structure's vertical source rather than its merely-organizational origin. Second, the polity-structural arrangements serve operational purposes — "to equip the saints for the work of ministry, for building up the body of Christ" names the structure's operational function rather than the structure as end-in-itself. Third, the polity-structural arrangements operate within an eschatological horizon — "until we all attain to the unity of the faith and of the knowledge of the Son of God, to mature manhood, to the measure of the stature of the fullness of Christ" names the structure's eschatological telos rather than the structure's continuation as merely-institutional momentum.</w:t>
      </w:r>
    </w:p>
    <w:p>
      <w:pPr>
        <w:spacing w:after="160" w:line="300"/>
      </w:pPr>
      <w:r>
        <w:rPr>
          <w:rFonts w:ascii="Arial" w:cs="Arial" w:eastAsia="Arial" w:hAnsi="Arial"/>
          <w:b w:val="false"/>
          <w:bCs w:val="false"/>
          <w:i w:val="false"/>
          <w:iCs w:val="false"/>
          <w:sz w:val="22"/>
          <w:szCs w:val="22"/>
        </w:rPr>
        <w:t xml:space="preserve">Paul holds supplementary articulation at 1 Cor. 12:27–31 with the body-of-Christ's gifts-and-offices arrangement: "Now you are the body of Christ and individually members of it. And God has appointed in the church first apostles, second prophets, third teachers, then miracles, then gifts of healing, helping, administrating, and various kinds of tongues." The Pauline ordering ("first … second … third") names a structural-functional priority in the polity-arrangement, with the operational distinctions among the gifts-and-offices recognized as part of the body's structural-architectural arrangement. 1 Tim. 5:17 holds the supplementary articulation of the polity-structure's compensation arrangement ("Let the elders who rule well be considered worthy of double honor, especially those who labor in preaching and teaching"); 1 Cor. 9:1–14 holds the broader articulation of the polity-arrangement's material-support dimension; 2 Cor. 13:10 holds the Pauline articulation of the authority-pattern's purpose ("for building up and not for tearing down").</w:t>
      </w:r>
    </w:p>
    <w:p>
      <w:pPr>
        <w:spacing w:after="160" w:line="300"/>
      </w:pPr>
      <w:r>
        <w:rPr>
          <w:rFonts w:ascii="Arial" w:cs="Arial" w:eastAsia="Arial" w:hAnsi="Arial"/>
          <w:b w:val="false"/>
          <w:bCs w:val="false"/>
          <w:i w:val="false"/>
          <w:iCs w:val="false"/>
          <w:sz w:val="22"/>
          <w:szCs w:val="22"/>
        </w:rPr>
        <w:t xml:space="preserve">A supplementary witness operates at Heb. 13:7, 17, 24 with the Hebrews articulation of the leader-follower relational pattern: "Remember your leaders, those who spoke to you the word of God. Consider the outcome of their way of life, and imitate their faith" (v. 7); "Obey your leaders and submit to them, for they are keeping watch over your souls, as those who will have to give an account. Let them do this with joy and not with groaning, for that would be of no advantage to you" (v. 17); "Greet all your leaders and all the saints" (v. 24). The Hebrews articulation establishes the polity-structure's relational pattern (the leaders and the led with mutual operational responsibilities) and its eschatological accountability (the leaders giving an account; the followers' obedience and submission's structural ground).</w:t>
      </w:r>
    </w:p>
    <w:p>
      <w:pPr>
        <w:spacing w:after="160" w:line="300"/>
      </w:pPr>
      <w:r>
        <w:rPr>
          <w:rFonts w:ascii="Arial" w:cs="Arial" w:eastAsia="Arial" w:hAnsi="Arial"/>
          <w:b w:val="false"/>
          <w:bCs w:val="false"/>
          <w:i w:val="false"/>
          <w:iCs w:val="false"/>
          <w:sz w:val="22"/>
          <w:szCs w:val="22"/>
        </w:rPr>
        <w:t xml:space="preserve">A further supplementary witness operates at 1 Pet. 5:1–4 with the Petrine articulation: "So I exhort the elders among you, as a fellow elder and a witness of the sufferings of Christ, as well as a partaker in the glory that is going to be revealed: shepherd the flock of God that is among you, exercising oversight, not under compulsion, but willingly, as God would have you; not for shameful gain, but eagerly; not domineering over those in your charge, but being examples to the flock. And when the chief Shepherd appears, you will receive the unfading crown of glory." The Petrine articulation names the polity-structure's operational character at the elder-office level (shepherding the flock, exercising oversight, willing rather than compelled, eager rather than gain-motivated, exemplary rather than domineering) and its eschatological-reward grounding (the unfading crown of glory). The Petrine articulation establishes the polity-structure's pastoral-and-eschatological character at canonical depth.</w:t>
      </w:r>
    </w:p>
    <w:p>
      <w:pPr>
        <w:spacing w:after="160" w:line="300"/>
      </w:pPr>
      <w:r>
        <w:rPr>
          <w:rFonts w:ascii="Arial" w:cs="Arial" w:eastAsia="Arial" w:hAnsi="Arial"/>
          <w:b w:val="false"/>
          <w:bCs w:val="false"/>
          <w:i w:val="false"/>
          <w:iCs w:val="false"/>
          <w:sz w:val="22"/>
          <w:szCs w:val="22"/>
        </w:rPr>
        <w:t xml:space="preserve">Old Testament supplementary witnesses operate across the Mosaic establishment of the polity-structural arrangements: Exod. 18:13–27 (Jethro's counsel and the appointment of capable men over thousands, hundreds, fifties, tens); Num. 11:16–17, 24–30 (the seventy elders and the Spirit's distribution); Deut. 1:9–18 (Moses's recounting of the establishment); Deut. 16:18–20 (the appointment of judges and officers in every town); 2 Chron. 19:4–11 (Jehoshaphat's establishment of judges and the Levites' priestly arrangement). The Mosaic and post-Mosaic articulations establish the polity-structural pattern at the canonical inception of Israel's life as the covenant people, with the various structural-arrangement establishments responding to the operational pressures the gathered community faced.</w:t>
      </w:r>
    </w:p>
    <w:p>
      <w:pPr>
        <w:spacing w:after="160" w:line="300"/>
      </w:pPr>
      <w:r>
        <w:rPr>
          <w:rFonts w:ascii="Arial" w:cs="Arial" w:eastAsia="Arial" w:hAnsi="Arial"/>
          <w:b w:val="false"/>
          <w:bCs w:val="false"/>
          <w:i w:val="false"/>
          <w:iCs w:val="false"/>
          <w:sz w:val="22"/>
          <w:szCs w:val="22"/>
        </w:rPr>
        <w:t xml:space="preserve">The cumulative scriptural witness establishes the law's operational scope across both Testaments. The number of distinct biblical authors holding the law in operational form is at least two (Luke across the Acts material; Paul across the Pauline corpus; with the Hebrews writer, Peter, and the Mosaic-and-post-Mosaic articulations as additional support); the operational depth at the Lukan and Pauline material is exceptional; the cross-Testament continuity (from the Mosaic establishment through the apostolic-period church) is established.</w:t>
      </w:r>
    </w:p>
    <w:p>
      <w:pPr>
        <w:pStyle w:val="Heading2"/>
        <w:spacing w:after="160" w:before="240"/>
      </w:pPr>
      <w:r>
        <w:rPr>
          <w:rFonts w:ascii="Arial" w:cs="Arial" w:eastAsia="Arial" w:hAnsi="Arial"/>
          <w:b/>
          <w:bCs/>
          <w:sz w:val="30"/>
          <w:szCs w:val="30"/>
        </w:rPr>
        <w:t xml:space="preserve">Mechanism</w:t>
      </w:r>
    </w:p>
    <w:p>
      <w:pPr>
        <w:spacing w:after="160" w:line="300"/>
      </w:pPr>
      <w:r>
        <w:rPr>
          <w:rFonts w:ascii="Arial" w:cs="Arial" w:eastAsia="Arial" w:hAnsi="Arial"/>
          <w:b w:val="false"/>
          <w:bCs w:val="false"/>
          <w:i w:val="false"/>
          <w:iCs w:val="false"/>
          <w:sz w:val="22"/>
          <w:szCs w:val="22"/>
        </w:rPr>
        <w:t xml:space="preserve">The law's mechanism operates by the polity-structure's architectural-framework function conditioning the gathered community's other operations. The corporate person-structure scriptural-definition document identifies the corporate structural frame as the architectural envelope within which the other corporate Groups operate; the present law specifies the operational form of that envelope at the community-scale.</w:t>
      </w:r>
    </w:p>
    <w:p>
      <w:pPr>
        <w:spacing w:after="160" w:line="300"/>
      </w:pPr>
      <w:r>
        <w:rPr>
          <w:rFonts w:ascii="Arial" w:cs="Arial" w:eastAsia="Arial" w:hAnsi="Arial"/>
          <w:b w:val="false"/>
          <w:bCs w:val="false"/>
          <w:i w:val="false"/>
          <w:iCs w:val="false"/>
          <w:sz w:val="22"/>
          <w:szCs w:val="22"/>
        </w:rPr>
        <w:t xml:space="preserve">The architectural-framework character of the polity-structure is the law's pivot. The polity-structure is not an operation within the community's life alongside the worship and the discernment and the soul-care and the scriptural reception; it is the architectural envelope within which those operations are conducted. The community's worship operates within the polity-structure's arrangements for the gathered worship (the offices and their operational responsibilities for the worship's structured form; the qualifications of those who lead the worship; the decision-making arrangements for the worship's specific operational forms). The community's discernment operates within the polity-structure's arrangements for the gathered discernment (the offices that receive and articulate the discernment; the qualifications of those engaged; the relational patterns within which the discernment occurs). The community's soul-care operates within the polity-structure's pastoral arrangements (the elders' pastoral responsibility at Acts 20:28; the deacons' practical care at Acts 6; the structured-care arrangements for the wounded and the wandering). The community's scriptural reception operates within the polity-structure's teaching arrangements (the apostles' teaching at Acts 2:42 as polity-structural arrangement; the elders' teaching responsibility at 1 Tim. 5:17 and Titus 1:9). The community's enacted operations occur within the polity-structure's authority-and-accountability arrangements (the operational responsibilities of the offices, the structured accountability the offices hold). The polity-structure as architectural framework is operationally consequential at every operational dimension the gathered community engages.</w:t>
      </w:r>
    </w:p>
    <w:p>
      <w:pPr>
        <w:spacing w:after="160" w:line="300"/>
      </w:pPr>
      <w:r>
        <w:rPr>
          <w:rFonts w:ascii="Arial" w:cs="Arial" w:eastAsia="Arial" w:hAnsi="Arial"/>
          <w:b w:val="false"/>
          <w:bCs w:val="false"/>
          <w:i w:val="false"/>
          <w:iCs w:val="false"/>
          <w:sz w:val="22"/>
          <w:szCs w:val="22"/>
        </w:rPr>
        <w:t xml:space="preserve">The Christ-given character of the polity-structure is operationally important and deserves separate articulation. Eph. 4:11's "he gave the apostles, the prophets, the evangelists, the shepherds and teachers" names the structure's vertical source rather than its merely-organizational origin. The polity-structure is Christ's structural arrangement for his body's operation, not the body's own organizational decision-making operating apart from Christ's structural design. The Christ-given character operates by several mechanisms: Christ's distribution of gifts to particular members (1 Cor. 12:11 "all these are empowered by one and the same Spirit, who apportions to each one individually as he wills"); Christ's calling of particular members to particular offices (the apostolic calls in the gospels and Acts; the prophetic calls; the pastoral calls Paul addresses in the Pastoral Epistles); Christ's preservation of the offices' continuity across the church's history (the apostolic-tradition continuity through the laying-on-of-hands tradition; the ordination practices the various traditions have developed). The Christ-given character grounds the polity-structure's authority — the offices have operational authority because Christ has given them, not because the community has organizationally constructed them — and the same Christ-given character grounds the offices' accountability — the office-holders give an account to Christ, not merely to the community.</w:t>
      </w:r>
    </w:p>
    <w:p>
      <w:pPr>
        <w:spacing w:after="160" w:line="300"/>
      </w:pPr>
      <w:r>
        <w:rPr>
          <w:rFonts w:ascii="Arial" w:cs="Arial" w:eastAsia="Arial" w:hAnsi="Arial"/>
          <w:b w:val="false"/>
          <w:bCs w:val="false"/>
          <w:i w:val="false"/>
          <w:iCs w:val="false"/>
          <w:sz w:val="22"/>
          <w:szCs w:val="22"/>
        </w:rPr>
        <w:t xml:space="preserve">The operational-purpose character of the polity-structure is the second feature the Pauline material establishes. Eph. 4:12 names the structure's purpose: "to equip the saints for the work of ministry, for building up the body of Christ." The polity-structure operates for the building-up of the body, with the equipping of the saints for ministry as the operational form of the building-up. The structure is not end-in-itself; the structure serves the body's operational maturity. The mechanism by which the building-up operates includes: the teaching that establishes doctrinal substance (1 Tim. 4:13; 2 Tim. 3:16–17; Titus 1:9); the pastoral care that sustains the body's members (Acts 20:28; 1 Pet. 5:2; Heb. 13:17); the disciplinary work that addresses sin and restoration (Matt. 18:15–20; 1 Cor. 5; 2 Cor. 2:5–11; Gal. 6:1); the apostolic and prophetic equipping that addresses the body's continued formation (Eph. 4:11–16); the administrative work that arranges the body's operational life (Acts 6; 1 Cor. 12:28 with κυβέρνησις, "administrating"); the missional work that extends the body's reach (Acts 1:8; the apostolic missionary practice). The polity-structure operates in service of these operational purposes, with the structure's continued life as merely-institutional momentum without operational engagement being the Mirror-form failure the law names.</w:t>
      </w:r>
    </w:p>
    <w:p>
      <w:pPr>
        <w:spacing w:after="160" w:line="300"/>
      </w:pPr>
      <w:r>
        <w:rPr>
          <w:rFonts w:ascii="Arial" w:cs="Arial" w:eastAsia="Arial" w:hAnsi="Arial"/>
          <w:b w:val="false"/>
          <w:bCs w:val="false"/>
          <w:i w:val="false"/>
          <w:iCs w:val="false"/>
          <w:sz w:val="22"/>
          <w:szCs w:val="22"/>
        </w:rPr>
        <w:t xml:space="preserve">The eschatological-telos character of the polity-structure is the third feature the Pauline material establishes. Eph. 4:13 names the telos: "until we all attain to the unity of the faith and of the knowledge of the Son of God, to mature manhood, to the measure of the stature of the fullness of Christ." The polity-structure operates within an eschatological horizon; the structure's continued operation is part of the church's continued formation toward the eschatological maturity Christ's body is being prepared for. The mechanism's eschatological orientation is operationally important because it specifies the polity-structure's operational scope — the structure operates not merely for the present-community's organization but for the church's continued formation across generations toward the eschatological state. The Pauline framing operates parallel to FL.XXVIII Generational Nested Structure Law's eschatological-people-of-God outermost scale — the polity-structure operates within the same eschatological frame the generational nesting articulates.</w:t>
      </w:r>
    </w:p>
    <w:p>
      <w:pPr>
        <w:spacing w:after="160" w:line="300"/>
      </w:pPr>
      <w:r>
        <w:rPr>
          <w:rFonts w:ascii="Arial" w:cs="Arial" w:eastAsia="Arial" w:hAnsi="Arial"/>
          <w:b w:val="false"/>
          <w:bCs w:val="false"/>
          <w:i w:val="false"/>
          <w:iCs w:val="false"/>
          <w:sz w:val="22"/>
          <w:szCs w:val="22"/>
        </w:rPr>
        <w:t xml:space="preserve">The diversity of operational polity-forms across the traditions deserves articulation at the present law's Band 3 admission. The Catholic and Orthodox traditions hold episcopal polity (the three-fold ministry of bishop, presbyter, and deacon; the apostolic-succession tradition; the conciliar arrangements at regional, national, and ecumenical scales). The Reformed tradition holds presbyterian polity (the plural-elder arrangement at the local church; the presbytery, synod, and general-assembly arrangements at regional and national scales). The Congregational and free-church traditions hold congregational polity (the local-church autonomy; the gathered-congregation decision-making; the voluntary-association arrangements at regional and national scales). The Anabaptist tradition holds gathered-church polity (the gathered-congregation discernment; the plural-leader arrangements; the mutual-accountability practices). The Wesleyan tradition holds connectional polity (the conference arrangements; the itinerant ministry; the class-meeting and society arrangements). The Pentecostal tradition holds charismatic-led polity (the recognition of the Spirit's distribution of gifts and offices; the variable arrangements depending on the Spirit's leading). The various hybrid arrangements (the Anglican blend of episcopal and reformed; the Baptist plural-pastor and congregational arrangements; the modern non-denominational variations) hold their own theologically-articulated combinations.</w:t>
      </w:r>
    </w:p>
    <w:p>
      <w:pPr>
        <w:spacing w:after="160" w:line="300"/>
      </w:pPr>
      <w:r>
        <w:rPr>
          <w:rFonts w:ascii="Arial" w:cs="Arial" w:eastAsia="Arial" w:hAnsi="Arial"/>
          <w:b w:val="false"/>
          <w:bCs w:val="false"/>
          <w:i w:val="false"/>
          <w:iCs w:val="false"/>
          <w:sz w:val="22"/>
          <w:szCs w:val="22"/>
        </w:rPr>
        <w:t xml:space="preserve">The catalog's Band 3 admission does not adjudicate among these traditions on the specific polity-form. The catalog admits the principle (some polity-structure operates as the architectural framework conditioning the community's operations) on its multi-author scriptural footing; the specific polity-form theological work remains tradition-by-tradition. The Band 3 admission parallels FL.XXIII Sabbath Rest Law's admission: the principle (structured cessation in trust-of-provision produces flourishing) is admitted on its scriptural footing; the specific Sabbath-day-and-practice theological work (the seventh-day Sabbatarian tradition; the Lord's-Day-Sabbath tradition; the moral-vs-ceremonial distinction; the variable application-traditions) remains tradition-by-tradition. The Band 3 articulation is the catalog's operational way of admitting principles whose broad acceptance holds at the principle level while the specific operational forms remain contested across traditions.</w:t>
      </w:r>
    </w:p>
    <w:p>
      <w:pPr>
        <w:spacing w:after="160" w:line="300"/>
      </w:pPr>
      <w:r>
        <w:rPr>
          <w:rFonts w:ascii="Arial" w:cs="Arial" w:eastAsia="Arial" w:hAnsi="Arial"/>
          <w:b w:val="false"/>
          <w:bCs w:val="false"/>
          <w:i w:val="false"/>
          <w:iCs w:val="false"/>
          <w:sz w:val="22"/>
          <w:szCs w:val="22"/>
        </w:rPr>
        <w:t xml:space="preserve">The principle-vs-specific-form distinction deserves a dedicated sub-section parallel to FL.XXIII's dedicated principle-from-commandment sub-section. The principle the law admits is that </w:t>
      </w:r>
      <w:r>
        <w:rPr>
          <w:rFonts w:ascii="Arial" w:cs="Arial" w:eastAsia="Arial" w:hAnsi="Arial"/>
          <w:b w:val="false"/>
          <w:bCs w:val="false"/>
          <w:i/>
          <w:iCs/>
          <w:sz w:val="22"/>
          <w:szCs w:val="22"/>
        </w:rPr>
        <w:t xml:space="preserve">some</w:t>
      </w:r>
      <w:r>
        <w:rPr>
          <w:rFonts w:ascii="Arial" w:cs="Arial" w:eastAsia="Arial" w:hAnsi="Arial"/>
          <w:b w:val="false"/>
          <w:bCs w:val="false"/>
          <w:i w:val="false"/>
          <w:iCs w:val="false"/>
          <w:sz w:val="22"/>
          <w:szCs w:val="22"/>
        </w:rPr>
        <w:t xml:space="preserve"> polity-structure operates as the gathered community's architectural framework conditioning the community's other operations. The polity-structure is not optional — the catalog's articulation is that some structure operates, not that no structure is required. The community gathered into operational life without any polity-structure operates by a different operational dynamic from the community gathered with structure, and the absence of structure produces operational consequences (the operational drift that occurs without authority-and-accountability arrangements; the operational fragmentation that occurs without decision-making arrangements; the operational disorder that occurs without role-and-responsibility arrangements). The specific form the structure takes — episcopal or presbyterian or congregational or some other — is the territory the catalog leaves to tradition-by-tradition theological work. The catalog's contribution is the principle's articulation as a Foundational Law of the gathered community's operational life; the traditions' theological work on the specific forms continues alongside the catalog's articulation rather than being adjudicated by it.</w:t>
      </w:r>
    </w:p>
    <w:p>
      <w:pPr>
        <w:spacing w:after="160" w:line="300"/>
      </w:pPr>
      <w:r>
        <w:rPr>
          <w:rFonts w:ascii="Arial" w:cs="Arial" w:eastAsia="Arial" w:hAnsi="Arial"/>
          <w:b w:val="false"/>
          <w:bCs w:val="false"/>
          <w:i w:val="false"/>
          <w:iCs w:val="false"/>
          <w:sz w:val="22"/>
          <w:szCs w:val="22"/>
        </w:rPr>
        <w:t xml:space="preserve">The relationship to other Foundational Laws deserves articulation. The present law operates as the architectural-framework within which the other Period 3 Foundational Laws (FL.XX Gathered-Body Discernment, FL.XVIII Bitter-Root Community, FL.XXIV Confession-in-Community, FL.XXV Restoration-of-the-Erring, FL.XXIX Corporate Emotional Integration, FL.XXX Communal Soul-Care for the Wounded, FL.XXXI Corporate Scriptural Reception, FL.XXXII Communal Worship Heart-Alignment) all operate. The relationship parallels FL.XXVIII Generational Nested Structure Law's architectural-frame coherence-holder function at the generational scale — the present law operates as the corresponding coherence-holder at the community scale. The two laws together (FL.XXVIII at P4/GVI; FL.XXXIII at P3/GVI) hold the catalog's architectural-framework articulation at the generational and community scales. The Band 3 admission of the present law preserves the catalog's conservative-inclusion bias on the tradition-contested specific forms while admitting the principle that has multi-author scriptural support and broad acceptance at the principle level.</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The law meets all four of the inclusion criteria with Band 3 articulation. First, multi-author scriptural support is established: at least two distinct biblical authors hold the law in operational form (Luke across the Acts material at Acts 6, 14:23, 15, 20:17–28; Paul across the Pauline corpus at 1 Tim. 3, Titus 1, Eph. 4:11–13, 1 Cor. 12:27–31, 1 Tim. 5:17, 2 Cor. 13:10), with the Hebrews writer at Heb. 13:7, 17, 24, Peter at 1 Pet. 5:1–4, the Mosaic and post-Mosaic articulations across Exod. 18, Num. 11, Deut. 1, Deut. 16, and 2 Chron. 19 as supplementary witnesses establishing operational scope across both Testaments. The number of biblical authors holding the law substantively exceeds the catalog's two-author minimum threshold.</w:t>
      </w:r>
    </w:p>
    <w:p>
      <w:pPr>
        <w:spacing w:after="160" w:line="300"/>
      </w:pPr>
      <w:r>
        <w:rPr>
          <w:rFonts w:ascii="Arial" w:cs="Arial" w:eastAsia="Arial" w:hAnsi="Arial"/>
          <w:b w:val="false"/>
          <w:bCs w:val="false"/>
          <w:i w:val="false"/>
          <w:iCs w:val="false"/>
          <w:sz w:val="22"/>
          <w:szCs w:val="22"/>
        </w:rPr>
        <w:t xml:space="preserve">Second, broad acceptance across mainstream Christian traditions operates at the principle level rather than the specific-form level. The principle (some polity-structure operates as the architectural framework conditioning the community's operations) is held in common across the traditions; the specific polity-form is contested, with each tradition holding its own theological articulation. The Band 3 admission accommodates this distribution by admitting the principle on its broad-acceptance footing while explicitly leaving the specific-form theological work to the traditions.</w:t>
      </w:r>
    </w:p>
    <w:p>
      <w:pPr>
        <w:spacing w:after="160" w:line="300"/>
      </w:pPr>
      <w:r>
        <w:rPr>
          <w:rFonts w:ascii="Arial" w:cs="Arial" w:eastAsia="Arial" w:hAnsi="Arial"/>
          <w:b w:val="false"/>
          <w:bCs w:val="false"/>
          <w:i w:val="false"/>
          <w:iCs w:val="false"/>
          <w:sz w:val="22"/>
          <w:szCs w:val="22"/>
        </w:rPr>
        <w:t xml:space="preserve">Third, the law is directional in the strict sense. The polity-structure's establishment → the architectural framework's operational conditioning of the community's other operations → the operational consequences for the community's continued life. The directionality operates at every operational dimension the gathered community engages.</w:t>
      </w:r>
    </w:p>
    <w:p>
      <w:pPr>
        <w:spacing w:after="160" w:line="300"/>
      </w:pPr>
      <w:r>
        <w:rPr>
          <w:rFonts w:ascii="Arial" w:cs="Arial" w:eastAsia="Arial" w:hAnsi="Arial"/>
          <w:b w:val="false"/>
          <w:bCs w:val="false"/>
          <w:i w:val="false"/>
          <w:iCs w:val="false"/>
          <w:sz w:val="22"/>
          <w:szCs w:val="22"/>
        </w:rPr>
        <w:t xml:space="preserve">Fourth, the law operates at the principle level. The principle (some polity-structure operates as architectural framework) is clearly distinguishable from the specific-form theological articulations (episcopal, presbyterian, congregational, etc.). The Band 3 admission addresses the principle-vs-command edge case by articulating the principle's scriptural and operational grounding while leaving the specific operational forms tradition-by-tradition.</w:t>
      </w:r>
    </w:p>
    <w:p>
      <w:pPr>
        <w:spacing w:after="160" w:line="300"/>
      </w:pPr>
      <w:r>
        <w:rPr>
          <w:rFonts w:ascii="Arial" w:cs="Arial" w:eastAsia="Arial" w:hAnsi="Arial"/>
          <w:b w:val="false"/>
          <w:bCs w:val="false"/>
          <w:i w:val="false"/>
          <w:iCs w:val="false"/>
          <w:sz w:val="22"/>
          <w:szCs w:val="22"/>
        </w:rPr>
        <w:t xml:space="preserve">The law's placement at P3/GVI (Community / Structural Frame) is the right one because the operational mechanism is the architectural-framework function at the community-scale, and the corporate person-structure scriptural-definition document identifies the corporate structural frame as the architectural envelope within which the other corporate Groups operate. The placement closes the Period 3 / Group VI under-population — the cell previously held only the anomalous V2.Exp10 Skill Development, with no Foundational entries until the present admission. The Period 3 row now holds Foundational entries across all six Groups for the first time in the catalog's history, marking a structural-completion milestone in the community-scale operational frame's articulation.</w:t>
      </w:r>
    </w:p>
    <w:p>
      <w:pPr>
        <w:spacing w:after="160" w:line="300"/>
      </w:pPr>
      <w:r>
        <w:rPr>
          <w:rFonts w:ascii="Arial" w:cs="Arial" w:eastAsia="Arial" w:hAnsi="Arial"/>
          <w:b w:val="false"/>
          <w:bCs w:val="false"/>
          <w:i w:val="false"/>
          <w:iCs w:val="false"/>
          <w:sz w:val="22"/>
          <w:szCs w:val="22"/>
        </w:rPr>
        <w:t xml:space="preserve">The vertical directionality tag (V) names the relational vector. The polity-structure is Christ-given (Eph. 4:11 "he gave the apostles, the prophets, the evangelists, the shepherds and teachers"), operates with the Spirit-established offices (Acts 20:28 "the Holy Spirit has made you overseers"), and serves Christ's body's eschatological maturity (Eph. 4:13). The vertical-from-Christ character is operationally primary; the horizontal-relational dimensions among the offices and members are derivative from the vertical-gift character. The V tag accordingly aligns with the other Period 3 laws that involve the operational arrangement Christ or the Spirit establishes for the community (FL.XX at GI; FL.XXXI at GIV).</w:t>
      </w:r>
    </w:p>
    <w:p>
      <w:pPr>
        <w:spacing w:after="160" w:line="300"/>
      </w:pPr>
      <w:r>
        <w:rPr>
          <w:rFonts w:ascii="Arial" w:cs="Arial" w:eastAsia="Arial" w:hAnsi="Arial"/>
          <w:b/>
          <w:bCs/>
          <w:i w:val="false"/>
          <w:iCs w:val="false"/>
          <w:sz w:val="22"/>
          <w:szCs w:val="22"/>
        </w:rPr>
        <w:t xml:space="preserve">Proposed Law: The Community Polity Structure / Ecclesial Architecture Law (Band 3). Some polity-structure — the leader-follower-and-peer arrangements, the offices and their qualifications, the decision-making patterns, the institutional-continuity arrangements that hold the community across time — operates as the architectural framework within which the gathered community's other operations are conducted; the framework is Christ-given (the offices established by Christ for the body's building-up), operates for operational purpose (the equipping of the saints for ministry; the body's maturation), and operates within eschatological horizon (the church's continued formation toward the measure of the stature of the fullness of Christ); the specific form the structure takes — episcopal, presbyterian, congregational, charismatic-led, gathered-church, or some hybrid arrangement — is the territory of tradition-by-tradition theological work and not catalog-arbitrated articulation.</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Community Polity Structure Law's idol-ward face operates in two distinct failure modes that the Pauline material addresses. The first failure mode is the polity-structure becoming the substance rather than the framework — the structure operating as end-in-itself, with the building-up purpose attenuated and the structure's continued operation conducted as merely-institutional momentum. The Pauline warnings at 2 Tim. 3:5 ("having the appearance of godliness, but denying its power") and the broader form-without-power dynamic FL.XXVII Thick Practice Transmission Law's chapter articulates at the corporate-mind scale operate at the polity-structure scale as the structure's continued operation without its operational purpose. The second failure mode is the polity-structure's absence or attenuation — the gathered community operating without authority-and-accountability arrangements, without decision-making patterns, without office-and-qualification structures, with the operational consequences (the operational drift, fragmentation, and disorder the absence produces) compounding over time. The Diotrephes case at 3 John 9–10 is the canonical NT articulation of the failure mode at the polity-distortion case ("Diotrephes, who likes to put himself first, does not acknowledge our authority … he refuses to welcome the brothers, and also stops those who want to and puts them out of the church") — the polity-structure operating in distorted form produces distorted operational consequences at every dimension the structure conditions. The recovery of the law's positive operation requires either the restoration of the polity-structure's operational purpose (where the structure has become merely-institutional) or the establishment of the polity-structure where its absence has produced operational consequences (where the gathered community has operated without structural arrangements). The specific recovery operation depends on the tradition's specific polity-form, with the catalog's articulation establishing the principle while leaving the specific-form operational work to tradition-by-tradition theological articulation.</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Two-or-more-biblical-author cross-Testament support exceeding the catalog's minimum threshold (Luke across Acts material; Paul across Pauline corpus; Hebrews writer; Peter; Mosaic and post-Mosaic supplementary). Broad acceptance at the principle level across mainstream Christian traditions (with specific polity-forms held tradition-by-tradition rather than catalog-arbitrated). Directional structure clear. Principle-level operation at Band 3 (principle very close to commandment-instantiation, with specific operational forms explicitly held as tradition-by-tradition theological work).</w:t>
      </w:r>
    </w:p>
    <w:p>
      <w:pPr>
        <w:spacing w:after="160" w:line="300"/>
      </w:pPr>
      <w:r>
        <w:rPr>
          <w:rFonts w:ascii="Arial" w:cs="Arial" w:eastAsia="Arial" w:hAnsi="Arial"/>
          <w:b w:val="false"/>
          <w:bCs w:val="false"/>
          <w:i w:val="false"/>
          <w:iCs w:val="false"/>
          <w:sz w:val="22"/>
          <w:szCs w:val="22"/>
        </w:rPr>
        <w:t xml:space="preserve">This is Foundational Law XXXIII — the operational law of wide consent that names the polity-structure's architectural-framework function at the community-scale, admitted at Band 3 with the principle articulated and the specific polity-forms left to tradition-by-tradition theological work. The admission closes the Period 3 / Group VI under-population and produces the Period 3 row's first complete Foundational coverage across all six Groups in the catalog's history. The next anticipated admission per the v5_6_0_11 Q3 ratification is at P2/GVI with marriage as the primary candidate; the v5_6_0_13 revision will address the dyadic pair-bond architecture at the next focused single-admission pass.</w:t>
      </w:r>
    </w:p>
    <w:p>
      <w:r>
        <w:br w:type="page"/>
      </w:r>
    </w:p>
    <w:p>
      <w:pPr>
        <w:pStyle w:val="Heading1"/>
        <w:spacing w:after="240" w:before="360"/>
      </w:pPr>
      <w:r>
        <w:rPr>
          <w:rFonts w:ascii="Arial" w:cs="Arial" w:eastAsia="Arial" w:hAnsi="Arial"/>
          <w:b/>
          <w:bCs/>
          <w:sz w:val="36"/>
          <w:szCs w:val="36"/>
        </w:rPr>
        <w:t xml:space="preserve">Section B · Vol 1 Overview Chapter v5_6_0_26</w:t>
      </w:r>
    </w:p>
    <w:p>
      <w:pPr>
        <w:spacing w:after="160" w:line="300"/>
      </w:pPr>
      <w:r>
        <w:rPr>
          <w:rFonts w:ascii="Arial" w:cs="Arial" w:eastAsia="Arial" w:hAnsi="Arial"/>
          <w:b w:val="false"/>
          <w:bCs w:val="false"/>
          <w:i w:val="false"/>
          <w:iCs w:val="false"/>
          <w:sz w:val="22"/>
          <w:szCs w:val="22"/>
        </w:rPr>
        <w:t xml:space="preserve">The Vol 1 overview chapter is updated to v5_6_0_26 with the title moving from "Thirty-Two" to "Thirty-Three Operational Laws." The complete revised chapter follows.</w:t>
      </w:r>
    </w:p>
    <w:p>
      <w:r>
        <w:br w:type="page"/>
      </w:r>
    </w:p>
    <w:p>
      <w:pPr>
        <w:pStyle w:val="Heading1"/>
        <w:spacing w:after="240" w:before="360"/>
      </w:pPr>
      <w:r>
        <w:rPr>
          <w:rFonts w:ascii="Arial" w:cs="Arial" w:eastAsia="Arial" w:hAnsi="Arial"/>
          <w:b/>
          <w:bCs/>
          <w:sz w:val="36"/>
          <w:szCs w:val="36"/>
        </w:rPr>
        <w:t xml:space="preserve">Foundational Laws: Thirty-Three Operational Laws of Wide Consent</w:t>
      </w:r>
    </w:p>
    <w:p>
      <w:pPr>
        <w:spacing w:after="160" w:line="300"/>
      </w:pPr>
      <w:r>
        <w:rPr>
          <w:rFonts w:ascii="Arial" w:cs="Arial" w:eastAsia="Arial" w:hAnsi="Arial"/>
          <w:b w:val="false"/>
          <w:bCs w:val="false"/>
          <w:i w:val="false"/>
          <w:iCs w:val="false"/>
          <w:sz w:val="22"/>
          <w:szCs w:val="22"/>
        </w:rPr>
        <w:t xml:space="preserve">Before I begin the personal explorations that make up the body of this volume, I want to set out thirty-three operational laws that are already broadly accepted across mainstream Christian tradition. These are not my discoveries. They are the floor I am building on.</w:t>
      </w:r>
    </w:p>
    <w:p>
      <w:pPr>
        <w:spacing w:after="160" w:line="300"/>
      </w:pPr>
      <w:r>
        <w:rPr>
          <w:rFonts w:ascii="Arial" w:cs="Arial" w:eastAsia="Arial" w:hAnsi="Arial"/>
          <w:b w:val="false"/>
          <w:bCs w:val="false"/>
          <w:i w:val="false"/>
          <w:iCs w:val="false"/>
          <w:sz w:val="22"/>
          <w:szCs w:val="22"/>
        </w:rPr>
        <w:t xml:space="preserve">The Explorations that follow this section are my own investigations into territory I have found less well mapped. Those are propositional claims in the Reasonably Inferred to Clearly Taught tiers. They need testing. The community has not yet weighed in.</w:t>
      </w:r>
    </w:p>
    <w:p>
      <w:pPr>
        <w:spacing w:after="160" w:line="300"/>
      </w:pPr>
      <w:r>
        <w:rPr>
          <w:rFonts w:ascii="Arial" w:cs="Arial" w:eastAsia="Arial" w:hAnsi="Arial"/>
          <w:b w:val="false"/>
          <w:bCs w:val="false"/>
          <w:i w:val="false"/>
          <w:iCs w:val="false"/>
          <w:sz w:val="22"/>
          <w:szCs w:val="22"/>
        </w:rPr>
        <w:t xml:space="preserve">But these thirty-three are different. Each one has been recognized as foundational across nearly the entire breadth of Christian thought — from the patristic period through the medieval doctors, through the magisterial Reformation, through the modern theological recovery, and into contemporary pastoral practice. They are the operational grammar within which the church's various traditions hold their disagreements about other matters.</w:t>
      </w:r>
    </w:p>
    <w:p>
      <w:pPr>
        <w:spacing w:after="160" w:line="300"/>
      </w:pPr>
      <w:r>
        <w:rPr>
          <w:rFonts w:ascii="Arial" w:cs="Arial" w:eastAsia="Arial" w:hAnsi="Arial"/>
          <w:b w:val="false"/>
          <w:bCs w:val="false"/>
          <w:i w:val="false"/>
          <w:iCs w:val="false"/>
          <w:sz w:val="22"/>
          <w:szCs w:val="22"/>
        </w:rPr>
        <w:t xml:space="preserve">I will state each one in a single sentence. The single-sentence statement is deliberate: it forces the law into its most operational form, the form in which the cause-and-effect relationship is plainly named and the principle-level operation is plainly visible.</w:t>
      </w:r>
    </w:p>
    <w:p>
      <w:pPr>
        <w:pStyle w:val="Heading2"/>
        <w:spacing w:after="160" w:before="240"/>
      </w:pPr>
      <w:r>
        <w:rPr>
          <w:rFonts w:ascii="Arial" w:cs="Arial" w:eastAsia="Arial" w:hAnsi="Arial"/>
          <w:b/>
          <w:bCs/>
          <w:sz w:val="30"/>
          <w:szCs w:val="30"/>
        </w:rPr>
        <w:t xml:space="preserve">The Inclusion Bar</w:t>
      </w:r>
    </w:p>
    <w:p>
      <w:pPr>
        <w:spacing w:after="160" w:line="300"/>
      </w:pPr>
      <w:r>
        <w:rPr>
          <w:rFonts w:ascii="Arial" w:cs="Arial" w:eastAsia="Arial" w:hAnsi="Arial"/>
          <w:b w:val="false"/>
          <w:bCs w:val="false"/>
          <w:i w:val="false"/>
          <w:iCs w:val="false"/>
          <w:sz w:val="22"/>
          <w:szCs w:val="22"/>
        </w:rPr>
        <w:t xml:space="preserve">A law qualifies as Foundational only if it clears four criteria. First, </w:t>
      </w:r>
      <w:r>
        <w:rPr>
          <w:rFonts w:ascii="Arial" w:cs="Arial" w:eastAsia="Arial" w:hAnsi="Arial"/>
          <w:b w:val="false"/>
          <w:bCs w:val="false"/>
          <w:i/>
          <w:iCs/>
          <w:sz w:val="22"/>
          <w:szCs w:val="22"/>
        </w:rPr>
        <w:t xml:space="preserve">multi-author scriptural support</w:t>
      </w:r>
      <w:r>
        <w:rPr>
          <w:rFonts w:ascii="Arial" w:cs="Arial" w:eastAsia="Arial" w:hAnsi="Arial"/>
          <w:b w:val="false"/>
          <w:bCs w:val="false"/>
          <w:i w:val="false"/>
          <w:iCs w:val="false"/>
          <w:sz w:val="22"/>
          <w:szCs w:val="22"/>
        </w:rPr>
        <w:t xml:space="preserve"> — the cause-and-effect relationship stated or strongly implied across multiple scriptures from at least two different biblical authors. Second, </w:t>
      </w:r>
      <w:r>
        <w:rPr>
          <w:rFonts w:ascii="Arial" w:cs="Arial" w:eastAsia="Arial" w:hAnsi="Arial"/>
          <w:b w:val="false"/>
          <w:bCs w:val="false"/>
          <w:i/>
          <w:iCs/>
          <w:sz w:val="22"/>
          <w:szCs w:val="22"/>
        </w:rPr>
        <w:t xml:space="preserve">broad acceptance</w:t>
      </w:r>
      <w:r>
        <w:rPr>
          <w:rFonts w:ascii="Arial" w:cs="Arial" w:eastAsia="Arial" w:hAnsi="Arial"/>
          <w:b w:val="false"/>
          <w:bCs w:val="false"/>
          <w:i w:val="false"/>
          <w:iCs w:val="false"/>
          <w:sz w:val="22"/>
          <w:szCs w:val="22"/>
        </w:rPr>
        <w:t xml:space="preserve"> — generally affirmed across mainstream Christian traditions, not contested doctrine. Third, </w:t>
      </w:r>
      <w:r>
        <w:rPr>
          <w:rFonts w:ascii="Arial" w:cs="Arial" w:eastAsia="Arial" w:hAnsi="Arial"/>
          <w:b w:val="false"/>
          <w:bCs w:val="false"/>
          <w:i/>
          <w:iCs/>
          <w:sz w:val="22"/>
          <w:szCs w:val="22"/>
        </w:rPr>
        <w:t xml:space="preserve">directionality</w:t>
      </w:r>
      <w:r>
        <w:rPr>
          <w:rFonts w:ascii="Arial" w:cs="Arial" w:eastAsia="Arial" w:hAnsi="Arial"/>
          <w:b w:val="false"/>
          <w:bCs w:val="false"/>
          <w:i w:val="false"/>
          <w:iCs w:val="false"/>
          <w:sz w:val="22"/>
          <w:szCs w:val="22"/>
        </w:rPr>
        <w:t xml:space="preserve"> — explicitly causal or conditional, not merely descriptive. Fourth, </w:t>
      </w:r>
      <w:r>
        <w:rPr>
          <w:rFonts w:ascii="Arial" w:cs="Arial" w:eastAsia="Arial" w:hAnsi="Arial"/>
          <w:b w:val="false"/>
          <w:bCs w:val="false"/>
          <w:i/>
          <w:iCs/>
          <w:sz w:val="22"/>
          <w:szCs w:val="22"/>
        </w:rPr>
        <w:t xml:space="preserve">principle-level</w:t>
      </w:r>
      <w:r>
        <w:rPr>
          <w:rFonts w:ascii="Arial" w:cs="Arial" w:eastAsia="Arial" w:hAnsi="Arial"/>
          <w:b w:val="false"/>
          <w:bCs w:val="false"/>
          <w:i w:val="false"/>
          <w:iCs w:val="false"/>
          <w:sz w:val="22"/>
          <w:szCs w:val="22"/>
        </w:rPr>
        <w:t xml:space="preserve"> — operating at the level of a governing principle rather than a specific situational instruction, with band-of-closeness articulation (Band 1 clearly-distinguishable principle; Band 2 principle-with-pathway-specified; Band 3 principle-very-close-to-commandment-instantiation with the specific operational forms held tradition-by-tradition) addressing the principle-vs-command edge cases.</w:t>
      </w:r>
    </w:p>
    <w:p>
      <w:pPr>
        <w:spacing w:after="160" w:line="300"/>
      </w:pPr>
      <w:r>
        <w:rPr>
          <w:rFonts w:ascii="Arial" w:cs="Arial" w:eastAsia="Arial" w:hAnsi="Arial"/>
          <w:b w:val="false"/>
          <w:bCs w:val="false"/>
          <w:i w:val="false"/>
          <w:iCs w:val="false"/>
          <w:sz w:val="22"/>
          <w:szCs w:val="22"/>
        </w:rPr>
        <w:t xml:space="preserve">The catalog's Group designations (Spirit, Heart, Soul, Mind &amp; Will, Body &amp; Action, Structural Frame) are scripturally grounded at both the individual and corporate scales. The corporate-scale grounding — corporate spirit through the Rev. 1–3 lampstand, corporate heart through Acts 4:32's "one heart" and Ezek. 11:19's God-given new heart, corporate soul through Acts 4:32's "one soul" and Phil. 1:27's "one soul striving together," corporate mind through 1 Cor. 1:10's "same mind" and Phil. 2:5's "mind of Christ," corporate body through the extensive Pauline body-of-Christ material, corporate structural frame through the temple-household-polity articulations — is held in the Vol 5 Periodic Table chapter's body-of-Christ master-frame sub-section at v5_6_0_11. The Group designations operate consistently across the catalog's full scale range.</w:t>
      </w:r>
    </w:p>
    <w:p>
      <w:pPr>
        <w:pStyle w:val="Heading2"/>
        <w:spacing w:after="160" w:before="240"/>
      </w:pPr>
      <w:r>
        <w:rPr>
          <w:rFonts w:ascii="Arial" w:cs="Arial" w:eastAsia="Arial" w:hAnsi="Arial"/>
          <w:b/>
          <w:bCs/>
          <w:sz w:val="30"/>
          <w:szCs w:val="30"/>
        </w:rPr>
        <w:t xml:space="preserve">The Thirty-Three Laws</w:t>
      </w:r>
    </w:p>
    <w:p>
      <w:pPr>
        <w:spacing w:after="160" w:line="300"/>
      </w:pPr>
      <w:r>
        <w:rPr>
          <w:rFonts w:ascii="Arial" w:cs="Arial" w:eastAsia="Arial" w:hAnsi="Arial"/>
          <w:b w:val="false"/>
          <w:bCs w:val="false"/>
          <w:i w:val="false"/>
          <w:iCs w:val="false"/>
          <w:sz w:val="22"/>
          <w:szCs w:val="22"/>
        </w:rPr>
        <w:t xml:space="preserve">The thirty-three Foundational Laws are summarized below in numerical order, with the Period/Group placement, the directionality tag, and the single-sentence operational statement. Each law has its own chapter in this volume.</w:t>
      </w:r>
    </w:p>
    <w:p>
      <w:pPr>
        <w:spacing w:after="160" w:line="300"/>
      </w:pPr>
      <w:r>
        <w:rPr>
          <w:rFonts w:ascii="Arial" w:cs="Arial" w:eastAsia="Arial" w:hAnsi="Arial"/>
          <w:b/>
          <w:bCs/>
          <w:i w:val="false"/>
          <w:iCs w:val="false"/>
          <w:sz w:val="22"/>
          <w:szCs w:val="22"/>
        </w:rPr>
        <w:t xml:space="preserve">FL.I — The Sowing-and-Reaping Law (P0/GV, V).</w:t>
      </w:r>
      <w:r>
        <w:rPr>
          <w:rFonts w:ascii="Arial" w:cs="Arial" w:eastAsia="Arial" w:hAnsi="Arial"/>
          <w:b w:val="false"/>
          <w:bCs w:val="false"/>
          <w:i w:val="false"/>
          <w:iCs w:val="false"/>
          <w:sz w:val="22"/>
          <w:szCs w:val="22"/>
        </w:rPr>
        <w:t xml:space="preserve"> What is sown is what is reaped (Gal. 6:7–9; Hos. 10:12; 2 Cor. 9:6).</w:t>
      </w:r>
    </w:p>
    <w:p>
      <w:pPr>
        <w:spacing w:after="160" w:line="300"/>
      </w:pPr>
      <w:r>
        <w:rPr>
          <w:rFonts w:ascii="Arial" w:cs="Arial" w:eastAsia="Arial" w:hAnsi="Arial"/>
          <w:b/>
          <w:bCs/>
          <w:i w:val="false"/>
          <w:iCs w:val="false"/>
          <w:sz w:val="22"/>
          <w:szCs w:val="22"/>
        </w:rPr>
        <w:t xml:space="preserve">FL.II — The Confession-Restoration Law (P1/GV, V).</w:t>
      </w:r>
      <w:r>
        <w:rPr>
          <w:rFonts w:ascii="Arial" w:cs="Arial" w:eastAsia="Arial" w:hAnsi="Arial"/>
          <w:b w:val="false"/>
          <w:bCs w:val="false"/>
          <w:i w:val="false"/>
          <w:iCs w:val="false"/>
          <w:sz w:val="22"/>
          <w:szCs w:val="22"/>
        </w:rPr>
        <w:t xml:space="preserve"> Spoken confession of sin to God produces forgiveness; concealment produces compounding interior load (1 John 1:9; Prov. 28:13; Ps. 32:3–5).</w:t>
      </w:r>
    </w:p>
    <w:p>
      <w:pPr>
        <w:spacing w:after="160" w:line="300"/>
      </w:pPr>
      <w:r>
        <w:rPr>
          <w:rFonts w:ascii="Arial" w:cs="Arial" w:eastAsia="Arial" w:hAnsi="Arial"/>
          <w:b/>
          <w:bCs/>
          <w:i w:val="false"/>
          <w:iCs w:val="false"/>
          <w:sz w:val="22"/>
          <w:szCs w:val="22"/>
        </w:rPr>
        <w:t xml:space="preserve">FL.III — The Heart-Throne Law (P1/GII, B).</w:t>
      </w:r>
      <w:r>
        <w:rPr>
          <w:rFonts w:ascii="Arial" w:cs="Arial" w:eastAsia="Arial" w:hAnsi="Arial"/>
          <w:b w:val="false"/>
          <w:bCs w:val="false"/>
          <w:i w:val="false"/>
          <w:iCs w:val="false"/>
          <w:sz w:val="22"/>
          <w:szCs w:val="22"/>
        </w:rPr>
        <w:t xml:space="preserve"> What the heart enthrones becomes the structuring center of formation (Matt. 6:21, 6:24; Exod. 20:3).</w:t>
      </w:r>
    </w:p>
    <w:p>
      <w:pPr>
        <w:spacing w:after="160" w:line="300"/>
      </w:pPr>
      <w:r>
        <w:rPr>
          <w:rFonts w:ascii="Arial" w:cs="Arial" w:eastAsia="Arial" w:hAnsi="Arial"/>
          <w:b/>
          <w:bCs/>
          <w:i w:val="false"/>
          <w:iCs w:val="false"/>
          <w:sz w:val="22"/>
          <w:szCs w:val="22"/>
        </w:rPr>
        <w:t xml:space="preserve">FL.IV — The Humility-Exaltation Law (P1/GIII, B).</w:t>
      </w:r>
      <w:r>
        <w:rPr>
          <w:rFonts w:ascii="Arial" w:cs="Arial" w:eastAsia="Arial" w:hAnsi="Arial"/>
          <w:b w:val="false"/>
          <w:bCs w:val="false"/>
          <w:i w:val="false"/>
          <w:iCs w:val="false"/>
          <w:sz w:val="22"/>
          <w:szCs w:val="22"/>
        </w:rPr>
        <w:t xml:space="preserve"> Humbling before God precedes exaltation; self-exaltation precedes humbling (Jas. 4:10; 1 Pet. 5:6; Luke 14:11; Prov. 3:34).</w:t>
      </w:r>
    </w:p>
    <w:p>
      <w:pPr>
        <w:spacing w:after="160" w:line="300"/>
      </w:pPr>
      <w:r>
        <w:rPr>
          <w:rFonts w:ascii="Arial" w:cs="Arial" w:eastAsia="Arial" w:hAnsi="Arial"/>
          <w:b/>
          <w:bCs/>
          <w:i w:val="false"/>
          <w:iCs w:val="false"/>
          <w:sz w:val="22"/>
          <w:szCs w:val="22"/>
        </w:rPr>
        <w:t xml:space="preserve">FL.V — The Reciprocal Forgiveness Law (P2/GV, H).</w:t>
      </w:r>
      <w:r>
        <w:rPr>
          <w:rFonts w:ascii="Arial" w:cs="Arial" w:eastAsia="Arial" w:hAnsi="Arial"/>
          <w:b w:val="false"/>
          <w:bCs w:val="false"/>
          <w:i w:val="false"/>
          <w:iCs w:val="false"/>
          <w:sz w:val="22"/>
          <w:szCs w:val="22"/>
        </w:rPr>
        <w:t xml:space="preserve"> Forgiveness extended to others is the condition for forgiveness received from God (Matt. 6:14–15; Matt. 18:21–35; Mark 11:25).</w:t>
      </w:r>
    </w:p>
    <w:p>
      <w:pPr>
        <w:spacing w:after="160" w:line="300"/>
      </w:pPr>
      <w:r>
        <w:rPr>
          <w:rFonts w:ascii="Arial" w:cs="Arial" w:eastAsia="Arial" w:hAnsi="Arial"/>
          <w:b/>
          <w:bCs/>
          <w:i w:val="false"/>
          <w:iCs w:val="false"/>
          <w:sz w:val="22"/>
          <w:szCs w:val="22"/>
        </w:rPr>
        <w:t xml:space="preserve">FL.VI — The Hear-and-Obey Law (P0/GV, V).</w:t>
      </w:r>
      <w:r>
        <w:rPr>
          <w:rFonts w:ascii="Arial" w:cs="Arial" w:eastAsia="Arial" w:hAnsi="Arial"/>
          <w:b w:val="false"/>
          <w:bCs w:val="false"/>
          <w:i w:val="false"/>
          <w:iCs w:val="false"/>
          <w:sz w:val="22"/>
          <w:szCs w:val="22"/>
        </w:rPr>
        <w:t xml:space="preserve"> Hearing the word produces operational benefit only where the hearing issues in doing (Jas. 1:22–25; Matt. 7:24–27; Luke 11:28).</w:t>
      </w:r>
    </w:p>
    <w:p>
      <w:pPr>
        <w:spacing w:after="160" w:line="300"/>
      </w:pPr>
      <w:r>
        <w:rPr>
          <w:rFonts w:ascii="Arial" w:cs="Arial" w:eastAsia="Arial" w:hAnsi="Arial"/>
          <w:b/>
          <w:bCs/>
          <w:i w:val="false"/>
          <w:iCs w:val="false"/>
          <w:sz w:val="22"/>
          <w:szCs w:val="22"/>
        </w:rPr>
        <w:t xml:space="preserve">FL.VII — The Drawing-Near Reciprocity Law (P1/GI, B).</w:t>
      </w:r>
      <w:r>
        <w:rPr>
          <w:rFonts w:ascii="Arial" w:cs="Arial" w:eastAsia="Arial" w:hAnsi="Arial"/>
          <w:b w:val="false"/>
          <w:bCs w:val="false"/>
          <w:i w:val="false"/>
          <w:iCs w:val="false"/>
          <w:sz w:val="22"/>
          <w:szCs w:val="22"/>
        </w:rPr>
        <w:t xml:space="preserve"> Drawing near to God produces God's drawing near (Jas. 4:8; Heb. 10:22; Zech. 1:3).</w:t>
      </w:r>
    </w:p>
    <w:p>
      <w:pPr>
        <w:spacing w:after="160" w:line="300"/>
      </w:pPr>
      <w:r>
        <w:rPr>
          <w:rFonts w:ascii="Arial" w:cs="Arial" w:eastAsia="Arial" w:hAnsi="Arial"/>
          <w:b/>
          <w:bCs/>
          <w:i w:val="false"/>
          <w:iCs w:val="false"/>
          <w:sz w:val="22"/>
          <w:szCs w:val="22"/>
        </w:rPr>
        <w:t xml:space="preserve">FL.VIII — The Desire-for-God Law (P1/GII, V).</w:t>
      </w:r>
      <w:r>
        <w:rPr>
          <w:rFonts w:ascii="Arial" w:cs="Arial" w:eastAsia="Arial" w:hAnsi="Arial"/>
          <w:b w:val="false"/>
          <w:bCs w:val="false"/>
          <w:i w:val="false"/>
          <w:iCs w:val="false"/>
          <w:sz w:val="22"/>
          <w:szCs w:val="22"/>
        </w:rPr>
        <w:t xml:space="preserve"> Sustained desire for God produces increased capacity to receive God (Ps. 42:1–2; Ps. 63:1; Matt. 5:6).</w:t>
      </w:r>
    </w:p>
    <w:p>
      <w:pPr>
        <w:spacing w:after="160" w:line="300"/>
      </w:pPr>
      <w:r>
        <w:rPr>
          <w:rFonts w:ascii="Arial" w:cs="Arial" w:eastAsia="Arial" w:hAnsi="Arial"/>
          <w:b/>
          <w:bCs/>
          <w:i w:val="false"/>
          <w:iCs w:val="false"/>
          <w:sz w:val="22"/>
          <w:szCs w:val="22"/>
        </w:rPr>
        <w:t xml:space="preserve">FL.IX — The Generosity-Provision Law (P1/GV, V).</w:t>
      </w:r>
      <w:r>
        <w:rPr>
          <w:rFonts w:ascii="Arial" w:cs="Arial" w:eastAsia="Arial" w:hAnsi="Arial"/>
          <w:b w:val="false"/>
          <w:bCs w:val="false"/>
          <w:i w:val="false"/>
          <w:iCs w:val="false"/>
          <w:sz w:val="22"/>
          <w:szCs w:val="22"/>
        </w:rPr>
        <w:t xml:space="preserve"> Generosity produces proportional provision; stinginess produces proportional withholding (Luke 6:38; 2 Cor. 9:6–11; Prov. 11:24–25).</w:t>
      </w:r>
    </w:p>
    <w:p>
      <w:pPr>
        <w:spacing w:after="160" w:line="300"/>
      </w:pPr>
      <w:r>
        <w:rPr>
          <w:rFonts w:ascii="Arial" w:cs="Arial" w:eastAsia="Arial" w:hAnsi="Arial"/>
          <w:b/>
          <w:bCs/>
          <w:i w:val="false"/>
          <w:iCs w:val="false"/>
          <w:sz w:val="22"/>
          <w:szCs w:val="22"/>
        </w:rPr>
        <w:t xml:space="preserve">FL.X — The Faith-Sight Law (P0/GIV, V).</w:t>
      </w:r>
      <w:r>
        <w:rPr>
          <w:rFonts w:ascii="Arial" w:cs="Arial" w:eastAsia="Arial" w:hAnsi="Arial"/>
          <w:b w:val="false"/>
          <w:bCs w:val="false"/>
          <w:i w:val="false"/>
          <w:iCs w:val="false"/>
          <w:sz w:val="22"/>
          <w:szCs w:val="22"/>
        </w:rPr>
        <w:t xml:space="preserve"> Faith is the operational substance of things hoped for, evidence of things unseen (Heb. 11:1, 6; 2 Cor. 5:7; Rom. 1:17).</w:t>
      </w:r>
    </w:p>
    <w:p>
      <w:pPr>
        <w:spacing w:after="160" w:line="300"/>
      </w:pPr>
      <w:r>
        <w:rPr>
          <w:rFonts w:ascii="Arial" w:cs="Arial" w:eastAsia="Arial" w:hAnsi="Arial"/>
          <w:b/>
          <w:bCs/>
          <w:i w:val="false"/>
          <w:iCs w:val="false"/>
          <w:sz w:val="22"/>
          <w:szCs w:val="22"/>
        </w:rPr>
        <w:t xml:space="preserve">FL.XI — The Renewal-of-Mind Transformation Law (P1/GIV, V).</w:t>
      </w:r>
      <w:r>
        <w:rPr>
          <w:rFonts w:ascii="Arial" w:cs="Arial" w:eastAsia="Arial" w:hAnsi="Arial"/>
          <w:b w:val="false"/>
          <w:bCs w:val="false"/>
          <w:i w:val="false"/>
          <w:iCs w:val="false"/>
          <w:sz w:val="22"/>
          <w:szCs w:val="22"/>
        </w:rPr>
        <w:t xml:space="preserve"> Renewal of the mind produces transformation of pattern-of-life (Rom. 12:2; Eph. 4:23; Col. 3:10).</w:t>
      </w:r>
    </w:p>
    <w:p>
      <w:pPr>
        <w:spacing w:after="160" w:line="300"/>
      </w:pPr>
      <w:r>
        <w:rPr>
          <w:rFonts w:ascii="Arial" w:cs="Arial" w:eastAsia="Arial" w:hAnsi="Arial"/>
          <w:b/>
          <w:bCs/>
          <w:i w:val="false"/>
          <w:iCs w:val="false"/>
          <w:sz w:val="22"/>
          <w:szCs w:val="22"/>
        </w:rPr>
        <w:t xml:space="preserve">FL.XII — The Honor-Authority Flourishing Law (P2/GV, H).</w:t>
      </w:r>
      <w:r>
        <w:rPr>
          <w:rFonts w:ascii="Arial" w:cs="Arial" w:eastAsia="Arial" w:hAnsi="Arial"/>
          <w:b w:val="false"/>
          <w:bCs w:val="false"/>
          <w:i w:val="false"/>
          <w:iCs w:val="false"/>
          <w:sz w:val="22"/>
          <w:szCs w:val="22"/>
        </w:rPr>
        <w:t xml:space="preserve"> Honor of legitimate authority produces flourishing in the relational unit (Exod. 20:12; Eph. 6:1–3; Rom. 13:1–7).</w:t>
      </w:r>
    </w:p>
    <w:p>
      <w:pPr>
        <w:spacing w:after="160" w:line="300"/>
      </w:pPr>
      <w:r>
        <w:rPr>
          <w:rFonts w:ascii="Arial" w:cs="Arial" w:eastAsia="Arial" w:hAnsi="Arial"/>
          <w:b/>
          <w:bCs/>
          <w:i w:val="false"/>
          <w:iCs w:val="false"/>
          <w:sz w:val="22"/>
          <w:szCs w:val="22"/>
        </w:rPr>
        <w:t xml:space="preserve">FL.XIII — The Pure-Heart Vision Law (P1/GII, B).</w:t>
      </w:r>
      <w:r>
        <w:rPr>
          <w:rFonts w:ascii="Arial" w:cs="Arial" w:eastAsia="Arial" w:hAnsi="Arial"/>
          <w:b w:val="false"/>
          <w:bCs w:val="false"/>
          <w:i w:val="false"/>
          <w:iCs w:val="false"/>
          <w:sz w:val="22"/>
          <w:szCs w:val="22"/>
        </w:rPr>
        <w:t xml:space="preserve"> Purity of heart produces operational seeing of God (Matt. 5:8; Ps. 24:3–4; 2 Tim. 2:21–22).</w:t>
      </w:r>
    </w:p>
    <w:p>
      <w:pPr>
        <w:spacing w:after="160" w:line="300"/>
      </w:pPr>
      <w:r>
        <w:rPr>
          <w:rFonts w:ascii="Arial" w:cs="Arial" w:eastAsia="Arial" w:hAnsi="Arial"/>
          <w:b/>
          <w:bCs/>
          <w:i w:val="false"/>
          <w:iCs w:val="false"/>
          <w:sz w:val="22"/>
          <w:szCs w:val="22"/>
        </w:rPr>
        <w:t xml:space="preserve">FL.XIV — The Vanity-of-Substitutes Law (P1/GII, B).</w:t>
      </w:r>
      <w:r>
        <w:rPr>
          <w:rFonts w:ascii="Arial" w:cs="Arial" w:eastAsia="Arial" w:hAnsi="Arial"/>
          <w:b w:val="false"/>
          <w:bCs w:val="false"/>
          <w:i w:val="false"/>
          <w:iCs w:val="false"/>
          <w:sz w:val="22"/>
          <w:szCs w:val="22"/>
        </w:rPr>
        <w:t xml:space="preserve"> Substitutes for God produce the structural emptiness their idol-status guarantees (Eccl. 1:2; Jer. 2:13; Ps. 115:4–8).</w:t>
      </w:r>
    </w:p>
    <w:p>
      <w:pPr>
        <w:spacing w:after="160" w:line="300"/>
      </w:pPr>
      <w:r>
        <w:rPr>
          <w:rFonts w:ascii="Arial" w:cs="Arial" w:eastAsia="Arial" w:hAnsi="Arial"/>
          <w:b/>
          <w:bCs/>
          <w:i w:val="false"/>
          <w:iCs w:val="false"/>
          <w:sz w:val="22"/>
          <w:szCs w:val="22"/>
        </w:rPr>
        <w:t xml:space="preserve">FL.XV — The Hardening Law (P0/GI, V).</w:t>
      </w:r>
      <w:r>
        <w:rPr>
          <w:rFonts w:ascii="Arial" w:cs="Arial" w:eastAsia="Arial" w:hAnsi="Arial"/>
          <w:b w:val="false"/>
          <w:bCs w:val="false"/>
          <w:i w:val="false"/>
          <w:iCs w:val="false"/>
          <w:sz w:val="22"/>
          <w:szCs w:val="22"/>
        </w:rPr>
        <w:t xml:space="preserve"> Sustained refusal of God's address produces the heart's operational hardening (Heb. 3:7–15; Rom. 1:18–28; Pharaoh narrative).</w:t>
      </w:r>
    </w:p>
    <w:p>
      <w:pPr>
        <w:spacing w:after="160" w:line="300"/>
      </w:pPr>
      <w:r>
        <w:rPr>
          <w:rFonts w:ascii="Arial" w:cs="Arial" w:eastAsia="Arial" w:hAnsi="Arial"/>
          <w:b/>
          <w:bCs/>
          <w:i w:val="false"/>
          <w:iCs w:val="false"/>
          <w:sz w:val="22"/>
          <w:szCs w:val="22"/>
        </w:rPr>
        <w:t xml:space="preserve">FL.XVI — The Bondage Law (P0/GV, V).</w:t>
      </w:r>
      <w:r>
        <w:rPr>
          <w:rFonts w:ascii="Arial" w:cs="Arial" w:eastAsia="Arial" w:hAnsi="Arial"/>
          <w:b w:val="false"/>
          <w:bCs w:val="false"/>
          <w:i w:val="false"/>
          <w:iCs w:val="false"/>
          <w:sz w:val="22"/>
          <w:szCs w:val="22"/>
        </w:rPr>
        <w:t xml:space="preserve"> Sustained sin produces operational bondage to the sin (John 8:34; Rom. 6:16; 2 Pet. 2:19).</w:t>
      </w:r>
    </w:p>
    <w:p>
      <w:pPr>
        <w:spacing w:after="160" w:line="300"/>
      </w:pPr>
      <w:r>
        <w:rPr>
          <w:rFonts w:ascii="Arial" w:cs="Arial" w:eastAsia="Arial" w:hAnsi="Arial"/>
          <w:b/>
          <w:bCs/>
          <w:i w:val="false"/>
          <w:iCs w:val="false"/>
          <w:sz w:val="22"/>
          <w:szCs w:val="22"/>
        </w:rPr>
        <w:t xml:space="preserve">FL.XVII — The Substitution-Cascade Law (P4/GII, V, paired bidirectional with FL.XXI).</w:t>
      </w:r>
      <w:r>
        <w:rPr>
          <w:rFonts w:ascii="Arial" w:cs="Arial" w:eastAsia="Arial" w:hAnsi="Arial"/>
          <w:b w:val="false"/>
          <w:bCs w:val="false"/>
          <w:i w:val="false"/>
          <w:iCs w:val="false"/>
          <w:sz w:val="22"/>
          <w:szCs w:val="22"/>
        </w:rPr>
        <w:t xml:space="preserve"> Idolatry transmits across generations through the household's implicit-learning channel by default (Exod. 20:5–6; Deut. 5:9–10; 2 Kings 17:41).</w:t>
      </w:r>
    </w:p>
    <w:p>
      <w:pPr>
        <w:spacing w:after="160" w:line="300"/>
      </w:pPr>
      <w:r>
        <w:rPr>
          <w:rFonts w:ascii="Arial" w:cs="Arial" w:eastAsia="Arial" w:hAnsi="Arial"/>
          <w:b/>
          <w:bCs/>
          <w:i w:val="false"/>
          <w:iCs w:val="false"/>
          <w:sz w:val="22"/>
          <w:szCs w:val="22"/>
        </w:rPr>
        <w:t xml:space="preserve">FL.XVIII — The Bitter-Root Community Law (P3/GV, H, bidirectional).</w:t>
      </w:r>
      <w:r>
        <w:rPr>
          <w:rFonts w:ascii="Arial" w:cs="Arial" w:eastAsia="Arial" w:hAnsi="Arial"/>
          <w:b w:val="false"/>
          <w:bCs w:val="false"/>
          <w:i w:val="false"/>
          <w:iCs w:val="false"/>
          <w:sz w:val="22"/>
          <w:szCs w:val="22"/>
        </w:rPr>
        <w:t xml:space="preserve"> Unresolved offense calcifies into a defiling root; Matt. 18 pathway is the corrective (Heb. 12:14–15; Matt. 18:15–20; Eph. 4:26–27).</w:t>
      </w:r>
    </w:p>
    <w:p>
      <w:pPr>
        <w:spacing w:after="160" w:line="300"/>
      </w:pPr>
      <w:r>
        <w:rPr>
          <w:rFonts w:ascii="Arial" w:cs="Arial" w:eastAsia="Arial" w:hAnsi="Arial"/>
          <w:b/>
          <w:bCs/>
          <w:i w:val="false"/>
          <w:iCs w:val="false"/>
          <w:sz w:val="22"/>
          <w:szCs w:val="22"/>
        </w:rPr>
        <w:t xml:space="preserve">FL.XIX — The Spirit Anointing Transmission Law (P4/GI, V).</w:t>
      </w:r>
      <w:r>
        <w:rPr>
          <w:rFonts w:ascii="Arial" w:cs="Arial" w:eastAsia="Arial" w:hAnsi="Arial"/>
          <w:b w:val="false"/>
          <w:bCs w:val="false"/>
          <w:i w:val="false"/>
          <w:iCs w:val="false"/>
          <w:sz w:val="22"/>
          <w:szCs w:val="22"/>
        </w:rPr>
        <w:t xml:space="preserve"> The Spirit's anointing passes across generations through deliberate impartation (Num. 27:18–23; 2 Kings 2:9–15; 2 Tim. 1:5–7).</w:t>
      </w:r>
    </w:p>
    <w:p>
      <w:pPr>
        <w:spacing w:after="160" w:line="300"/>
      </w:pPr>
      <w:r>
        <w:rPr>
          <w:rFonts w:ascii="Arial" w:cs="Arial" w:eastAsia="Arial" w:hAnsi="Arial"/>
          <w:b/>
          <w:bCs/>
          <w:i w:val="false"/>
          <w:iCs w:val="false"/>
          <w:sz w:val="22"/>
          <w:szCs w:val="22"/>
        </w:rPr>
        <w:t xml:space="preserve">FL.XX — The Gathered-Body Discernment Law (P3/GI, V).</w:t>
      </w:r>
      <w:r>
        <w:rPr>
          <w:rFonts w:ascii="Arial" w:cs="Arial" w:eastAsia="Arial" w:hAnsi="Arial"/>
          <w:b w:val="false"/>
          <w:bCs w:val="false"/>
          <w:i w:val="false"/>
          <w:iCs w:val="false"/>
          <w:sz w:val="22"/>
          <w:szCs w:val="22"/>
        </w:rPr>
        <w:t xml:space="preserve"> The Holy Spirit speaks distinctively through a gathered body operating in unity (Acts 13:1–3; Acts 15:1–29; Matt. 18:18–20).</w:t>
      </w:r>
    </w:p>
    <w:p>
      <w:pPr>
        <w:spacing w:after="160" w:line="300"/>
      </w:pPr>
      <w:r>
        <w:rPr>
          <w:rFonts w:ascii="Arial" w:cs="Arial" w:eastAsia="Arial" w:hAnsi="Arial"/>
          <w:b/>
          <w:bCs/>
          <w:i w:val="false"/>
          <w:iCs w:val="false"/>
          <w:sz w:val="22"/>
          <w:szCs w:val="22"/>
        </w:rPr>
        <w:t xml:space="preserve">FL.XXI — The Household Formation Law (P4/GII, V, paired bidirectional with FL.XVII).</w:t>
      </w:r>
      <w:r>
        <w:rPr>
          <w:rFonts w:ascii="Arial" w:cs="Arial" w:eastAsia="Arial" w:hAnsi="Arial"/>
          <w:b w:val="false"/>
          <w:bCs w:val="false"/>
          <w:i w:val="false"/>
          <w:iCs w:val="false"/>
          <w:sz w:val="22"/>
          <w:szCs w:val="22"/>
        </w:rPr>
        <w:t xml:space="preserve"> Faithful covenant-keeping transmits blessing across generations through deliberate teaching (Gen. 12:1–3; Deut. 7:9; 2 Tim. 1:5).</w:t>
      </w:r>
    </w:p>
    <w:p>
      <w:pPr>
        <w:spacing w:after="160" w:line="300"/>
      </w:pPr>
      <w:r>
        <w:rPr>
          <w:rFonts w:ascii="Arial" w:cs="Arial" w:eastAsia="Arial" w:hAnsi="Arial"/>
          <w:b/>
          <w:bCs/>
          <w:i w:val="false"/>
          <w:iCs w:val="false"/>
          <w:sz w:val="22"/>
          <w:szCs w:val="22"/>
        </w:rPr>
        <w:t xml:space="preserve">FL.XXII — The Endurance-Hope Law (P1/GIII, V).</w:t>
      </w:r>
      <w:r>
        <w:rPr>
          <w:rFonts w:ascii="Arial" w:cs="Arial" w:eastAsia="Arial" w:hAnsi="Arial"/>
          <w:b w:val="false"/>
          <w:bCs w:val="false"/>
          <w:i w:val="false"/>
          <w:iCs w:val="false"/>
          <w:sz w:val="22"/>
          <w:szCs w:val="22"/>
        </w:rPr>
        <w:t xml:space="preserve"> Sustained endurance under God-ward orientation produces character that grounds hope (Rom. 5:3–5; Jas. 1:2–4; 1 Pet. 1:6–7; Heb. 12:1–11).</w:t>
      </w:r>
    </w:p>
    <w:p>
      <w:pPr>
        <w:spacing w:after="160" w:line="300"/>
      </w:pPr>
      <w:r>
        <w:rPr>
          <w:rFonts w:ascii="Arial" w:cs="Arial" w:eastAsia="Arial" w:hAnsi="Arial"/>
          <w:b/>
          <w:bCs/>
          <w:i w:val="false"/>
          <w:iCs w:val="false"/>
          <w:sz w:val="22"/>
          <w:szCs w:val="22"/>
        </w:rPr>
        <w:t xml:space="preserve">FL.XXIII — The Sabbath Rest Law (P0/GVI, V; Band 3).</w:t>
      </w:r>
      <w:r>
        <w:rPr>
          <w:rFonts w:ascii="Arial" w:cs="Arial" w:eastAsia="Arial" w:hAnsi="Arial"/>
          <w:b w:val="false"/>
          <w:bCs w:val="false"/>
          <w:i w:val="false"/>
          <w:iCs w:val="false"/>
          <w:sz w:val="22"/>
          <w:szCs w:val="22"/>
        </w:rPr>
        <w:t xml:space="preserve"> Structured cessation in trust-of-provision produces flourishing; absence produces compounding diminishment (Gen. 2:2–3; Exod. 20:8–11; Mark 2:23–28; Heb. 4:1–11).</w:t>
      </w:r>
    </w:p>
    <w:p>
      <w:pPr>
        <w:spacing w:after="160" w:line="300"/>
      </w:pPr>
      <w:r>
        <w:rPr>
          <w:rFonts w:ascii="Arial" w:cs="Arial" w:eastAsia="Arial" w:hAnsi="Arial"/>
          <w:b/>
          <w:bCs/>
          <w:i w:val="false"/>
          <w:iCs w:val="false"/>
          <w:sz w:val="22"/>
          <w:szCs w:val="22"/>
        </w:rPr>
        <w:t xml:space="preserve">FL.XXIV — The Confession-in-Community Law (P3/GV, B).</w:t>
      </w:r>
      <w:r>
        <w:rPr>
          <w:rFonts w:ascii="Arial" w:cs="Arial" w:eastAsia="Arial" w:hAnsi="Arial"/>
          <w:b w:val="false"/>
          <w:bCs w:val="false"/>
          <w:i w:val="false"/>
          <w:iCs w:val="false"/>
          <w:sz w:val="22"/>
          <w:szCs w:val="22"/>
        </w:rPr>
        <w:t xml:space="preserve"> Spoken confession in trusted community produces healing solitary confession does not produce (Jas. 5:16; Prov. 28:13; 1 John 1:9).</w:t>
      </w:r>
    </w:p>
    <w:p>
      <w:pPr>
        <w:spacing w:after="160" w:line="300"/>
      </w:pPr>
      <w:r>
        <w:rPr>
          <w:rFonts w:ascii="Arial" w:cs="Arial" w:eastAsia="Arial" w:hAnsi="Arial"/>
          <w:b/>
          <w:bCs/>
          <w:i w:val="false"/>
          <w:iCs w:val="false"/>
          <w:sz w:val="22"/>
          <w:szCs w:val="22"/>
        </w:rPr>
        <w:t xml:space="preserve">FL.XXV — The Restoration-of-the-Erring Law (P3/GV, H).</w:t>
      </w:r>
      <w:r>
        <w:rPr>
          <w:rFonts w:ascii="Arial" w:cs="Arial" w:eastAsia="Arial" w:hAnsi="Arial"/>
          <w:b w:val="false"/>
          <w:bCs w:val="false"/>
          <w:i w:val="false"/>
          <w:iCs w:val="false"/>
          <w:sz w:val="22"/>
          <w:szCs w:val="22"/>
        </w:rPr>
        <w:t xml:space="preserve"> Active pursuit of the wanderer in gentleness restores to communion (Gal. 6:1; Jas. 5:19–20; Matt. 18:12–14; Luke 15).</w:t>
      </w:r>
    </w:p>
    <w:p>
      <w:pPr>
        <w:spacing w:after="160" w:line="300"/>
      </w:pPr>
      <w:r>
        <w:rPr>
          <w:rFonts w:ascii="Arial" w:cs="Arial" w:eastAsia="Arial" w:hAnsi="Arial"/>
          <w:b/>
          <w:bCs/>
          <w:i w:val="false"/>
          <w:iCs w:val="false"/>
          <w:sz w:val="22"/>
          <w:szCs w:val="22"/>
        </w:rPr>
        <w:t xml:space="preserve">FL.XXVI — The Doctrinal Calcification Law (P4/GIV, V).</w:t>
      </w:r>
      <w:r>
        <w:rPr>
          <w:rFonts w:ascii="Arial" w:cs="Arial" w:eastAsia="Arial" w:hAnsi="Arial"/>
          <w:b w:val="false"/>
          <w:bCs w:val="false"/>
          <w:i w:val="false"/>
          <w:iCs w:val="false"/>
          <w:sz w:val="22"/>
          <w:szCs w:val="22"/>
        </w:rPr>
        <w:t xml:space="preserve"> Traditions transmitted without disciplines of return-to-scripture calcify into substitutes for the truth (Mark 7:8–13; Col. 2:8; 2 Tim. 4:3–4; Jude 3; Isa. 29:13).</w:t>
      </w:r>
    </w:p>
    <w:p>
      <w:pPr>
        <w:spacing w:after="160" w:line="300"/>
      </w:pPr>
      <w:r>
        <w:rPr>
          <w:rFonts w:ascii="Arial" w:cs="Arial" w:eastAsia="Arial" w:hAnsi="Arial"/>
          <w:b/>
          <w:bCs/>
          <w:i w:val="false"/>
          <w:iCs w:val="false"/>
          <w:sz w:val="22"/>
          <w:szCs w:val="22"/>
        </w:rPr>
        <w:t xml:space="preserve">FL.XXVII — The Thick Practice Transmission Law (P4/GV, V).</w:t>
      </w:r>
      <w:r>
        <w:rPr>
          <w:rFonts w:ascii="Arial" w:cs="Arial" w:eastAsia="Arial" w:hAnsi="Arial"/>
          <w:b w:val="false"/>
          <w:bCs w:val="false"/>
          <w:i w:val="false"/>
          <w:iCs w:val="false"/>
          <w:sz w:val="22"/>
          <w:szCs w:val="22"/>
        </w:rPr>
        <w:t xml:space="preserve"> Embedded practices in regular rhythm transmit substance deliberate teaching alone cannot convey (Deut. 6:4–9; Exod. 12; Josh. 4; 1 Cor. 11:23–26; Acts 2:42).</w:t>
      </w:r>
    </w:p>
    <w:p>
      <w:pPr>
        <w:spacing w:after="160" w:line="300"/>
      </w:pPr>
      <w:r>
        <w:rPr>
          <w:rFonts w:ascii="Arial" w:cs="Arial" w:eastAsia="Arial" w:hAnsi="Arial"/>
          <w:b/>
          <w:bCs/>
          <w:i w:val="false"/>
          <w:iCs w:val="false"/>
          <w:sz w:val="22"/>
          <w:szCs w:val="22"/>
        </w:rPr>
        <w:t xml:space="preserve">FL.XXVIII — The Generational Nested Structure Law (P4/GVI, V).</w:t>
      </w:r>
      <w:r>
        <w:rPr>
          <w:rFonts w:ascii="Arial" w:cs="Arial" w:eastAsia="Arial" w:hAnsi="Arial"/>
          <w:b w:val="false"/>
          <w:bCs w:val="false"/>
          <w:i w:val="false"/>
          <w:iCs w:val="false"/>
          <w:sz w:val="22"/>
          <w:szCs w:val="22"/>
        </w:rPr>
        <w:t xml:space="preserve"> Formation operates within a nested architecture; integrity at each scale is the operational condition for the transmission mechanisms (Deut. 4:9–10; Ps. 78; Eph. 3:14–15; Heb. 11–12).</w:t>
      </w:r>
    </w:p>
    <w:p>
      <w:pPr>
        <w:spacing w:after="160" w:line="300"/>
      </w:pPr>
      <w:r>
        <w:rPr>
          <w:rFonts w:ascii="Arial" w:cs="Arial" w:eastAsia="Arial" w:hAnsi="Arial"/>
          <w:b/>
          <w:bCs/>
          <w:i w:val="false"/>
          <w:iCs w:val="false"/>
          <w:sz w:val="22"/>
          <w:szCs w:val="22"/>
        </w:rPr>
        <w:t xml:space="preserve">FL.XXIX — The Corporate Emotional Integration Law (P3/GIII, B).</w:t>
      </w:r>
      <w:r>
        <w:rPr>
          <w:rFonts w:ascii="Arial" w:cs="Arial" w:eastAsia="Arial" w:hAnsi="Arial"/>
          <w:b w:val="false"/>
          <w:bCs w:val="false"/>
          <w:i w:val="false"/>
          <w:iCs w:val="false"/>
          <w:sz w:val="22"/>
          <w:szCs w:val="22"/>
        </w:rPr>
        <w:t xml:space="preserve"> The corporate soul integrates shared experience through gathered community's collective engagement; suffering-together and rejoicing-together are scripturally co-articulated (1 Cor. 12:26; Rom. 12:15; Acts 4:23–31; Neh. 8–9; Ps. lament-and-praise corpus; Heb. 10:24–25; John 11:33–36).</w:t>
      </w:r>
    </w:p>
    <w:p>
      <w:pPr>
        <w:spacing w:after="160" w:line="300"/>
      </w:pPr>
      <w:r>
        <w:rPr>
          <w:rFonts w:ascii="Arial" w:cs="Arial" w:eastAsia="Arial" w:hAnsi="Arial"/>
          <w:b/>
          <w:bCs/>
          <w:i w:val="false"/>
          <w:iCs w:val="false"/>
          <w:sz w:val="22"/>
          <w:szCs w:val="22"/>
        </w:rPr>
        <w:t xml:space="preserve">FL.XXX — The Communal Soul-Care for the Wounded Law (P3/GIII, H).</w:t>
      </w:r>
      <w:r>
        <w:rPr>
          <w:rFonts w:ascii="Arial" w:cs="Arial" w:eastAsia="Arial" w:hAnsi="Arial"/>
          <w:b w:val="false"/>
          <w:bCs w:val="false"/>
          <w:i w:val="false"/>
          <w:iCs w:val="false"/>
          <w:sz w:val="22"/>
          <w:szCs w:val="22"/>
        </w:rPr>
        <w:t xml:space="preserve"> The gathered community holds the integration the soul-wounded member cannot accomplish alone, sustained over the duration the wounding requires (Acts 9:9–25; 2 Cor. 1:3–7; Jas. 5:13–16; Gal. 6:2; Mark 2:1–12; Job 2:11–13).</w:t>
      </w:r>
    </w:p>
    <w:p>
      <w:pPr>
        <w:spacing w:after="160" w:line="300"/>
      </w:pPr>
      <w:r>
        <w:rPr>
          <w:rFonts w:ascii="Arial" w:cs="Arial" w:eastAsia="Arial" w:hAnsi="Arial"/>
          <w:b/>
          <w:bCs/>
          <w:i w:val="false"/>
          <w:iCs w:val="false"/>
          <w:sz w:val="22"/>
          <w:szCs w:val="22"/>
        </w:rPr>
        <w:t xml:space="preserve">FL.XXXI — The Corporate Scriptural Reception Law (P3/GIV, V).</w:t>
      </w:r>
      <w:r>
        <w:rPr>
          <w:rFonts w:ascii="Arial" w:cs="Arial" w:eastAsia="Arial" w:hAnsi="Arial"/>
          <w:b w:val="false"/>
          <w:bCs w:val="false"/>
          <w:i w:val="false"/>
          <w:iCs w:val="false"/>
          <w:sz w:val="22"/>
          <w:szCs w:val="22"/>
        </w:rPr>
        <w:t xml:space="preserve"> A gathered community's collective reception of scriptural address produces operational reception that solitary reading does not (Deut. 31:9–13; Neh. 8:1–12; Acts 2:42; 1 Tim. 4:13; Col. 3:16; Rev. 1:3; Luke 4:16–21).</w:t>
      </w:r>
    </w:p>
    <w:p>
      <w:pPr>
        <w:spacing w:after="160" w:line="300"/>
      </w:pPr>
      <w:r>
        <w:rPr>
          <w:rFonts w:ascii="Arial" w:cs="Arial" w:eastAsia="Arial" w:hAnsi="Arial"/>
          <w:b/>
          <w:bCs/>
          <w:i w:val="false"/>
          <w:iCs w:val="false"/>
          <w:sz w:val="22"/>
          <w:szCs w:val="22"/>
        </w:rPr>
        <w:t xml:space="preserve">FL.XXXII — The Communal Worship Heart-Alignment Law (P3/GII, B).</w:t>
      </w:r>
      <w:r>
        <w:rPr>
          <w:rFonts w:ascii="Arial" w:cs="Arial" w:eastAsia="Arial" w:hAnsi="Arial"/>
          <w:b w:val="false"/>
          <w:bCs w:val="false"/>
          <w:i w:val="false"/>
          <w:iCs w:val="false"/>
          <w:sz w:val="22"/>
          <w:szCs w:val="22"/>
        </w:rPr>
        <w:t xml:space="preserve"> A gathered community's collective worship operates as the structural form of the corporate-heart's God-ward alignment, with constitutive-bidirectional mutual constitution paralleling FL.III at the corporate-heart scale (Ps. 22:22–25; Ps. 100; Heb. 12:22–24; Heb. 10:24–25; Acts 2:46–47; Rev. 4–5; Rom. 15:5–6).</w:t>
      </w:r>
    </w:p>
    <w:p>
      <w:pPr>
        <w:spacing w:after="160" w:line="300"/>
      </w:pPr>
      <w:r>
        <w:rPr>
          <w:rFonts w:ascii="Arial" w:cs="Arial" w:eastAsia="Arial" w:hAnsi="Arial"/>
          <w:b/>
          <w:bCs/>
          <w:i w:val="false"/>
          <w:iCs w:val="false"/>
          <w:sz w:val="22"/>
          <w:szCs w:val="22"/>
        </w:rPr>
        <w:t xml:space="preserve">FL.XXXIII — The Community Polity Structure / Ecclesial Architecture Law (P3/GVI, V; Band 3).</w:t>
      </w:r>
      <w:r>
        <w:rPr>
          <w:rFonts w:ascii="Arial" w:cs="Arial" w:eastAsia="Arial" w:hAnsi="Arial"/>
          <w:b w:val="false"/>
          <w:bCs w:val="false"/>
          <w:i w:val="false"/>
          <w:iCs w:val="false"/>
          <w:sz w:val="22"/>
          <w:szCs w:val="22"/>
        </w:rPr>
        <w:t xml:space="preserve"> Some polity-structure operates as the architectural framework within which the gathered community's other operations are conducted; the framework is Christ-given, operates for the body's building-up, and operates within eschatological horizon; the specific polity-form (episcopal, presbyterian, congregational, etc.) is tradition-by-tradition theological work (Acts 6:1–7; Acts 14:23; Acts 15; Acts 20:28; 1 Tim. 3; Titus 1:5–9; Eph. 4:11–13; 1 Cor. 12:27–31; Heb. 13:7, 17; 1 Pet. 5:1–4). </w:t>
      </w:r>
      <w:r>
        <w:rPr>
          <w:rFonts w:ascii="Arial" w:cs="Arial" w:eastAsia="Arial" w:hAnsi="Arial"/>
          <w:b w:val="false"/>
          <w:bCs w:val="false"/>
          <w:i/>
          <w:iCs/>
          <w:sz w:val="22"/>
          <w:szCs w:val="22"/>
        </w:rPr>
        <w:t xml:space="preserve">New at v5_6_0_26.</w:t>
      </w:r>
    </w:p>
    <w:p>
      <w:pPr>
        <w:pStyle w:val="Heading2"/>
        <w:spacing w:after="160" w:before="240"/>
      </w:pPr>
      <w:r>
        <w:rPr>
          <w:rFonts w:ascii="Arial" w:cs="Arial" w:eastAsia="Arial" w:hAnsi="Arial"/>
          <w:b/>
          <w:bCs/>
          <w:sz w:val="30"/>
          <w:szCs w:val="30"/>
        </w:rPr>
        <w:t xml:space="preserve">The Floor and the Building</w:t>
      </w:r>
    </w:p>
    <w:p>
      <w:pPr>
        <w:spacing w:after="160" w:line="300"/>
      </w:pPr>
      <w:r>
        <w:rPr>
          <w:rFonts w:ascii="Arial" w:cs="Arial" w:eastAsia="Arial" w:hAnsi="Arial"/>
          <w:b w:val="false"/>
          <w:bCs w:val="false"/>
          <w:i w:val="false"/>
          <w:iCs w:val="false"/>
          <w:sz w:val="22"/>
          <w:szCs w:val="22"/>
        </w:rPr>
        <w:t xml:space="preserve">These thirty-three laws are the floor. The Explorations that follow build on this floor. The rest of the corpus is the building.</w:t>
      </w:r>
    </w:p>
    <w:p>
      <w:pPr>
        <w:pStyle w:val="Heading2"/>
        <w:spacing w:after="160" w:before="240"/>
      </w:pPr>
      <w:r>
        <w:rPr>
          <w:rFonts w:ascii="Arial" w:cs="Arial" w:eastAsia="Arial" w:hAnsi="Arial"/>
          <w:b/>
          <w:bCs/>
          <w:sz w:val="30"/>
          <w:szCs w:val="30"/>
        </w:rPr>
        <w:t xml:space="preserve">Closing Note on v5_6_0_26</w:t>
      </w:r>
    </w:p>
    <w:p>
      <w:pPr>
        <w:spacing w:after="160" w:line="300"/>
      </w:pPr>
      <w:r>
        <w:rPr>
          <w:rFonts w:ascii="Arial" w:cs="Arial" w:eastAsia="Arial" w:hAnsi="Arial"/>
          <w:b w:val="false"/>
          <w:bCs w:val="false"/>
          <w:i w:val="false"/>
          <w:iCs w:val="false"/>
          <w:sz w:val="22"/>
          <w:szCs w:val="22"/>
        </w:rPr>
        <w:t xml:space="preserve">The present revision adds one new Foundational Law (FL.XXXIII Community Polity Structure / Ecclesial Architecture Law) as the v5_6_0_12 focused single-admission pass at Band 3 articulation. The admission closes the Period 3 / Group VI under-population that has been the pending Group VI work since v5_6_0_8, and produces the Period 3 row's first complete Foundational coverage across all six Groups in the catalog's history. The chapter's title moves from "Thirty-Two" to "Thirty-Three" with this revision. The Foundational tier now stands at thirty-three laws.</w:t>
      </w:r>
    </w:p>
    <w:p>
      <w:pPr>
        <w:spacing w:after="160" w:line="300"/>
      </w:pPr>
      <w:r>
        <w:rPr>
          <w:rFonts w:ascii="Arial" w:cs="Arial" w:eastAsia="Arial" w:hAnsi="Arial"/>
          <w:b w:val="false"/>
          <w:bCs w:val="false"/>
          <w:i w:val="false"/>
          <w:iCs w:val="false"/>
          <w:sz w:val="22"/>
          <w:szCs w:val="22"/>
        </w:rPr>
        <w:t xml:space="preserve">The next revision (v5_6_0_13) is anticipated to address the dyadic pair-bond architecture at P2/GVI per the v5_6_0_11 Q3 ratification, with marriage as the primary candidate. Subsequent revisions will address the Period 5 cosmic-eschatological territories per the v5_6_0_11 Q4 sequencing. The architecture established at v5_6_0_5 remains stable through the v5_6_0_12 admission; the Band 3 articulation continues to operate within the existing band-of-closeness structure without requiring modification.</w:t>
      </w:r>
    </w:p>
    <w:p>
      <w:r>
        <w:br w:type="page"/>
      </w:r>
    </w:p>
    <w:p>
      <w:pPr>
        <w:pStyle w:val="Heading1"/>
        <w:spacing w:after="240" w:before="360"/>
      </w:pPr>
      <w:r>
        <w:rPr>
          <w:rFonts w:ascii="Arial" w:cs="Arial" w:eastAsia="Arial" w:hAnsi="Arial"/>
          <w:b/>
          <w:bCs/>
          <w:sz w:val="36"/>
          <w:szCs w:val="36"/>
        </w:rPr>
        <w:t xml:space="preserve">Section C · Vol 5 Periodic Table Chapter Edits v5_6_0_12</w:t>
      </w:r>
    </w:p>
    <w:p>
      <w:pPr>
        <w:spacing w:after="160" w:line="300"/>
      </w:pPr>
      <w:r>
        <w:rPr>
          <w:rFonts w:ascii="Arial" w:cs="Arial" w:eastAsia="Arial" w:hAnsi="Arial"/>
          <w:b w:val="false"/>
          <w:bCs w:val="false"/>
          <w:i w:val="false"/>
          <w:iCs w:val="false"/>
          <w:sz w:val="22"/>
          <w:szCs w:val="22"/>
        </w:rPr>
        <w:t xml:space="preserve">The Vol 5 Periodic Table chapter receives targeted edits at v5_6_0_12 including the new FL.XXXIII reference list entry, the Period 3 row structural-completion milestone sub-section, the Six Group Families update for Group VI, and the updated closing note. The seven targeted edits follow.</w:t>
      </w:r>
    </w:p>
    <w:p>
      <w:r>
        <w:br w:type="page"/>
      </w:r>
    </w:p>
    <w:p>
      <w:pPr>
        <w:pStyle w:val="Heading1"/>
        <w:spacing w:after="240" w:before="360"/>
      </w:pPr>
      <w:r>
        <w:rPr>
          <w:rFonts w:ascii="Arial" w:cs="Arial" w:eastAsia="Arial" w:hAnsi="Arial"/>
          <w:b/>
          <w:bCs/>
          <w:sz w:val="36"/>
          <w:szCs w:val="36"/>
        </w:rPr>
        <w:t xml:space="preserve">Vol 5 Periodic Table Chapter — v5_6_0_12 Targeted Edits</w:t>
      </w:r>
    </w:p>
    <w:p>
      <w:pPr>
        <w:spacing w:after="160" w:line="300"/>
      </w:pPr>
      <w:r>
        <w:rPr>
          <w:rFonts w:ascii="Arial" w:cs="Arial" w:eastAsia="Arial" w:hAnsi="Arial"/>
          <w:b w:val="false"/>
          <w:bCs w:val="false"/>
          <w:i w:val="false"/>
          <w:iCs w:val="false"/>
          <w:sz w:val="22"/>
          <w:szCs w:val="22"/>
        </w:rPr>
        <w:t xml:space="preserve">The v5_6_0_12 revision is the focused single-admission pass at P3/GVI per the v5_6_0_11 Q1 ratification. The revision admits FL.XXXIII Community Polity Structure / Ecclesial Architecture Law at Band 3 articulation, closing the Period 3 / Group VI under-population that has been pending since v5_6_0_8 and producing the Period 3 row's first complete Foundational coverage across all six Groups in the catalog's history.</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1 — Opening paragraph naming the revision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paragraph naming the v5_6_0_11 revision in the chapter's opening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an additional paragraph immediately after the v5_6_0_11 paragraph.</w:t>
      </w:r>
    </w:p>
    <w:p>
      <w:pPr>
        <w:spacing w:after="160" w:line="300"/>
      </w:pPr>
      <w:r>
        <w:rPr>
          <w:rFonts w:ascii="Arial" w:cs="Arial" w:eastAsia="Arial" w:hAnsi="Arial"/>
          <w:b/>
          <w:bCs/>
          <w:i w:val="false"/>
          <w:iCs w:val="false"/>
          <w:sz w:val="22"/>
          <w:szCs w:val="22"/>
        </w:rPr>
        <w:t xml:space="preserve">New paragraph:</w:t>
      </w:r>
    </w:p>
    <w:p>
      <w:pPr>
        <w:spacing w:after="160" w:line="300"/>
      </w:pPr>
      <w:r>
        <w:rPr>
          <w:rFonts w:ascii="Arial" w:cs="Arial" w:eastAsia="Arial" w:hAnsi="Arial"/>
          <w:b w:val="false"/>
          <w:bCs w:val="false"/>
          <w:i w:val="false"/>
          <w:iCs w:val="false"/>
          <w:sz w:val="22"/>
          <w:szCs w:val="22"/>
        </w:rPr>
        <w:t xml:space="preserve">Vol 5 v5_6_0_12 (the present revision) is the focused single-admission pass at Period 3 / Group VI per the v5_6_0_11 Q1 ratification of focused-rather-than-multi-candidate scope for Group VI architectural-framework work. The revision admits FL.XXXIII Community Polity Structure / Ecclesial Architecture Law at Band 3 articulation (parallel to FL.XXIII Sabbath Rest Law's Band 3 admission structure), holding the principle that some polity-structure operates as the architectural framework conditioning the community's operations while explicitly leaving the specific polity-form (episcopal, presbyterian, congregational, charismatic-led, gathered-church, hybrid arrangements) to tradition-by-tradition theological work. The admission closes the P3/GVI under-population — the cell previously held only the anomalous V2.Exp10 Skill Development — and produces the Period 3 row's first complete Foundational coverage across all six Groups in the catalog's history.</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2 — Headline counts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table currently holds 48 analyzed laws" (from v5_6_0_11 chapter opening).</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Replace with the updated version.</w:t>
      </w:r>
    </w:p>
    <w:p>
      <w:pPr>
        <w:spacing w:after="160" w:line="300"/>
      </w:pPr>
      <w:r>
        <w:rPr>
          <w:rFonts w:ascii="Arial" w:cs="Arial" w:eastAsia="Arial" w:hAnsi="Arial"/>
          <w:b/>
          <w:bCs/>
          <w:i w:val="false"/>
          <w:iCs w:val="false"/>
          <w:sz w:val="22"/>
          <w:szCs w:val="22"/>
        </w:rPr>
        <w:t xml:space="preserve">Replacement paragraph:</w:t>
      </w:r>
    </w:p>
    <w:p>
      <w:pPr>
        <w:spacing w:after="160" w:line="300"/>
      </w:pPr>
      <w:r>
        <w:rPr>
          <w:rFonts w:ascii="Arial" w:cs="Arial" w:eastAsia="Arial" w:hAnsi="Arial"/>
          <w:b w:val="false"/>
          <w:bCs w:val="false"/>
          <w:i w:val="false"/>
          <w:iCs w:val="false"/>
          <w:sz w:val="22"/>
          <w:szCs w:val="22"/>
        </w:rPr>
        <w:t xml:space="preserve">The table currently holds 49 analyzed laws drawn from across the three primary volumes and the associated formation documents, including 33 Foundational Laws of wide consent (FL.I–XXXIII), 9 speculative extensions marked with ◆ (unchanged from v5_6_0_11), 0 open unknowns (unchanged from v5_6_0_11), 1 anomaly (V2.Exp10 Skill Development at P3/GVI, now alongside FL.XXXIII at the same cell), and 6 forward-references to Volume 3's field-theoretic appendix. Confidence is expressed in qualitative tiers, not statistical probabilities. The three tiers Vol 1 defines — Clearly Taught, Reasonably Inferred, and Speculative — do the actual epistemic work; see Vol 1's tier description for the full definitions. Volume 1 v5_6_0_26 adds one new Foundational Law since v5_6_0_25 (FL.XXXIII), and the table is synced to current Vol 1 numbering as of this volume's v5_6_0_12.</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3 — Slim Format table row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slim-format table's P3/GVI cell.</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the cell to include the new FL.XXXIII admission.</w:t>
      </w:r>
    </w:p>
    <w:p>
      <w:pPr>
        <w:spacing w:after="160" w:line="300"/>
      </w:pPr>
      <w:r>
        <w:rPr>
          <w:rFonts w:ascii="Arial" w:cs="Arial" w:eastAsia="Arial" w:hAnsi="Arial"/>
          <w:b/>
          <w:bCs/>
          <w:i w:val="false"/>
          <w:iCs w:val="false"/>
          <w:sz w:val="22"/>
          <w:szCs w:val="22"/>
        </w:rPr>
        <w:t xml:space="preserve">P3/GVI cell:</w:t>
      </w:r>
    </w:p>
    <w:p>
      <w:pPr>
        <w:pBdr>
          <w:left w:val="single" w:color="CCCCCC" w:sz="12" w:space="12"/>
        </w:pBdr>
        <w:spacing w:after="160" w:before="120" w:line="300"/>
        <w:ind w:left="720" w:right="720"/>
      </w:pPr>
      <w:r>
        <w:rPr>
          <w:rFonts w:ascii="Arial" w:cs="Arial" w:eastAsia="Arial" w:hAnsi="Arial"/>
          <w:b/>
          <w:bCs/>
          <w:i w:val="false"/>
          <w:iCs w:val="false"/>
          <w:sz w:val="22"/>
          <w:szCs w:val="22"/>
        </w:rPr>
        <w:t xml:space="preserve">P3 / GVI (Structural Frame):</w:t>
      </w:r>
      <w:r>
        <w:rPr>
          <w:rFonts w:ascii="Arial" w:cs="Arial" w:eastAsia="Arial" w:hAnsi="Arial"/>
          <w:b w:val="false"/>
          <w:bCs w:val="false"/>
          <w:i w:val="false"/>
          <w:iCs w:val="false"/>
          <w:sz w:val="22"/>
          <w:szCs w:val="22"/>
        </w:rPr>
        <w:t xml:space="preserve"> V2.Exp10 Skill Development </w:t>
      </w:r>
      <w:r>
        <w:rPr>
          <w:rFonts w:ascii="Arial" w:cs="Arial" w:eastAsia="Arial" w:hAnsi="Arial"/>
          <w:b w:val="false"/>
          <w:bCs w:val="false"/>
          <w:i/>
          <w:iCs/>
          <w:sz w:val="22"/>
          <w:szCs w:val="22"/>
        </w:rPr>
        <w:t xml:space="preserve">(anomaly retained)</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FL.XXXIII Community Polity Structure / Ecclesial Architecture Law</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 at v5_6_0_12 — closes P3/GVI under-population; Band 3 articulation)</w:t>
      </w:r>
    </w:p>
    <w:p>
      <w:pPr>
        <w:spacing w:after="160" w:line="300"/>
      </w:pPr>
      <w:r>
        <w:rPr>
          <w:rFonts w:ascii="Arial" w:cs="Arial" w:eastAsia="Arial" w:hAnsi="Arial"/>
          <w:b w:val="false"/>
          <w:bCs w:val="false"/>
          <w:i w:val="false"/>
          <w:iCs w:val="false"/>
          <w:sz w:val="22"/>
          <w:szCs w:val="22"/>
        </w:rPr>
        <w:t xml:space="preserve">The Period 3 row now holds </w:t>
      </w:r>
      <w:r>
        <w:rPr>
          <w:rFonts w:ascii="Arial" w:cs="Arial" w:eastAsia="Arial" w:hAnsi="Arial"/>
          <w:b/>
          <w:bCs/>
          <w:i w:val="false"/>
          <w:iCs w:val="false"/>
          <w:sz w:val="22"/>
          <w:szCs w:val="22"/>
        </w:rPr>
        <w:t xml:space="preserve">10 Foundational entries across all six Groups</w:t>
      </w:r>
      <w:r>
        <w:rPr>
          <w:rFonts w:ascii="Arial" w:cs="Arial" w:eastAsia="Arial" w:hAnsi="Arial"/>
          <w:b w:val="false"/>
          <w:bCs w:val="false"/>
          <w:i w:val="false"/>
          <w:iCs w:val="false"/>
          <w:sz w:val="22"/>
          <w:szCs w:val="22"/>
        </w:rPr>
        <w:t xml:space="preserve"> (FL.XX at GI; FL.XXXII at GII; FL.XXIX and FL.XXX at GIII; FL.XXXI at GIV; FL.XVIII, FL.XXIV, FL.XXV at GV; FL.XXXIII at GVI), with the V1.Exp1 Faith-Hearing Generation, V2.Exp8 Container Law, and V2.Exp10 Skill Development continuing as the non-Foundational entries in the row. The Period 3 community-scale row is now structurally complete at the Foundational tier — the first row in the catalog to hold Foundational entries across all six Group designations simultaneously.</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4 — Reference List entry</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reference list at P3.</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the new reference list entry.</w:t>
      </w:r>
    </w:p>
    <w:p>
      <w:pPr>
        <w:pStyle w:val="Heading3"/>
        <w:spacing w:after="160" w:before="240"/>
      </w:pPr>
      <w:r>
        <w:rPr>
          <w:rFonts w:ascii="Arial" w:cs="Arial" w:eastAsia="Arial" w:hAnsi="Arial"/>
          <w:b/>
          <w:bCs/>
          <w:sz w:val="26"/>
          <w:szCs w:val="26"/>
        </w:rPr>
        <w:t xml:space="preserve">P3/GVI · Foundational — FL.XXXIII Community Polity Structure / Ecclesial Architecture Law (V; Band 3), Clearly Taught</w:t>
      </w:r>
    </w:p>
    <w:p>
      <w:pPr>
        <w:spacing w:after="160" w:line="300"/>
      </w:pPr>
      <w:r>
        <w:rPr>
          <w:rFonts w:ascii="Arial" w:cs="Arial" w:eastAsia="Arial" w:hAnsi="Arial"/>
          <w:b w:val="false"/>
          <w:bCs w:val="false"/>
          <w:i w:val="false"/>
          <w:iCs w:val="false"/>
          <w:sz w:val="22"/>
          <w:szCs w:val="22"/>
        </w:rPr>
        <w:t xml:space="preserve">Some polity-structure — the leader-follower-and-peer arrangements, the offices and their qualifications, the decision-making patterns, the institutional-continuity arrangements that hold the community across time — operates as the architectural framework within which the gathered community's other operations are conducted; the framework is Christ-given (Eph. 4:11 "he gave the apostles, the prophets, the evangelists, the shepherds and teachers"), operates for operational purpose (Eph. 4:12 "to equip the saints for the work of ministry, for building up the body of Christ"), and operates within eschatological horizon (Eph. 4:13 "until we all attain to the unity of the faith and of the knowledge of the Son of God, to mature manhood, to the measure of the stature of the fullness of Christ"). The specific polity-form (episcopal, presbyterian, congregational, charismatic-led, gathered-church, hybrid arrangements) is tradition-by-tradition theological work and not catalog-arbitrated articulation.</w:t>
      </w:r>
    </w:p>
    <w:p>
      <w:pPr>
        <w:spacing w:after="160" w:line="300"/>
      </w:pPr>
      <w:r>
        <w:rPr>
          <w:rFonts w:ascii="Arial" w:cs="Arial" w:eastAsia="Arial" w:hAnsi="Arial"/>
          <w:b w:val="false"/>
          <w:bCs w:val="false"/>
          <w:i w:val="false"/>
          <w:iCs w:val="false"/>
          <w:sz w:val="22"/>
          <w:szCs w:val="22"/>
        </w:rPr>
        <w:t xml:space="preserve">Two-or-more-biblical-author cross-Testament support: Luke across Acts material (Acts 6:1–7, 14:23, 15, 20:17–28); Paul across Pauline corpus (1 Tim. 3, Titus 1, Eph. 4:11–13, 1 Cor. 12:27–31, 1 Tim. 5:17, 2 Cor. 13:10); Hebrews writer (Heb. 13:7, 17, 24); Peter (1 Pet. 5:1–4); Mosaic and post-Mosaic supplementary (Exod. 18, Num. 11, Deut. 1, Deut. 16, 2 Chron. 19). Band 3 articulation parallel to FL.XXIII Sabbath Rest Law's Band 3 admission structure.</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Two distinct failure modes that the Pauline material addresses. First failure mode: polity-structure becoming the substance rather than the framework — the structure operating as end-in-itself with the building-up purpose attenuated. The form-without-power dynamic of 2 Tim. 3:5 operates at the polity-structure scale. Second failure mode: polity-structure's absence or attenuation — the gathered community operating without authority-and-accountability arrangements, with operational drift, fragmentation, and disorder compounding over time. The Diotrephes case at 3 John 9–10 is the canonical NT articulation of the failure mode at the polity-distortion case. Recovery operations are tradition-specific.</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5 — New Sub-Section: Period 3 Row Structural-Completion Milestone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Insert after the v5_6_0_11 body-of-Christ master-frame sub-section, within the "What the Shape Reveals" section.</w:t>
      </w:r>
    </w:p>
    <w:p>
      <w:pPr>
        <w:spacing w:after="160" w:line="300"/>
      </w:pPr>
      <w:r>
        <w:rPr>
          <w:rFonts w:ascii="Arial" w:cs="Arial" w:eastAsia="Arial" w:hAnsi="Arial"/>
          <w:b/>
          <w:bCs/>
          <w:i w:val="false"/>
          <w:iCs w:val="false"/>
          <w:sz w:val="22"/>
          <w:szCs w:val="22"/>
        </w:rPr>
        <w:t xml:space="preserve">New sub-section:</w:t>
      </w:r>
    </w:p>
    <w:p>
      <w:pPr>
        <w:pStyle w:val="Heading3"/>
        <w:spacing w:after="160" w:before="240"/>
      </w:pPr>
      <w:r>
        <w:rPr>
          <w:rFonts w:ascii="Arial" w:cs="Arial" w:eastAsia="Arial" w:hAnsi="Arial"/>
          <w:b/>
          <w:bCs/>
          <w:sz w:val="26"/>
          <w:szCs w:val="26"/>
        </w:rPr>
        <w:t xml:space="preserve">The Period 3 Row's Structural-Completion Milestone</w:t>
      </w:r>
    </w:p>
    <w:p>
      <w:pPr>
        <w:spacing w:after="160" w:line="300"/>
      </w:pPr>
      <w:r>
        <w:rPr>
          <w:rFonts w:ascii="Arial" w:cs="Arial" w:eastAsia="Arial" w:hAnsi="Arial"/>
          <w:b w:val="false"/>
          <w:bCs w:val="false"/>
          <w:i w:val="false"/>
          <w:iCs w:val="false"/>
          <w:sz w:val="22"/>
          <w:szCs w:val="22"/>
        </w:rPr>
        <w:t xml:space="preserve">The v5_6_0_12 admission of FL.XXXIII Community Polity Structure Law produces a structural-completion milestone in the catalog's history: the Period 3 community-scale row holds Foundational entries across all six Group designations for the first time in the catalog's development. The completion represents the catalog's most fully-articulated row at any scale and the operational completeness of the community-scale frame's Foundational coverage.</w:t>
      </w:r>
    </w:p>
    <w:p>
      <w:pPr>
        <w:spacing w:after="160" w:line="300"/>
      </w:pPr>
      <w:r>
        <w:rPr>
          <w:rFonts w:ascii="Arial" w:cs="Arial" w:eastAsia="Arial" w:hAnsi="Arial"/>
          <w:b w:val="false"/>
          <w:bCs w:val="false"/>
          <w:i w:val="false"/>
          <w:iCs w:val="false"/>
          <w:sz w:val="22"/>
          <w:szCs w:val="22"/>
        </w:rPr>
        <w:t xml:space="preserve">The Period 3 row's complete coverage is structurally significant for several reasons that the present sub-section articulates.</w:t>
      </w:r>
    </w:p>
    <w:p>
      <w:pPr>
        <w:spacing w:after="160" w:line="300"/>
      </w:pPr>
      <w:r>
        <w:rPr>
          <w:rFonts w:ascii="Arial" w:cs="Arial" w:eastAsia="Arial" w:hAnsi="Arial"/>
          <w:b/>
          <w:bCs/>
          <w:i w:val="false"/>
          <w:iCs w:val="false"/>
          <w:sz w:val="22"/>
          <w:szCs w:val="22"/>
        </w:rPr>
        <w:t xml:space="preserve">First</w:t>
      </w:r>
      <w:r>
        <w:rPr>
          <w:rFonts w:ascii="Arial" w:cs="Arial" w:eastAsia="Arial" w:hAnsi="Arial"/>
          <w:b w:val="false"/>
          <w:bCs w:val="false"/>
          <w:i w:val="false"/>
          <w:iCs w:val="false"/>
          <w:sz w:val="22"/>
          <w:szCs w:val="22"/>
        </w:rPr>
        <w:t xml:space="preserve">, the completion demonstrates that the community-scale operational frame is </w:t>
      </w:r>
      <w:r>
        <w:rPr>
          <w:rFonts w:ascii="Arial" w:cs="Arial" w:eastAsia="Arial" w:hAnsi="Arial"/>
          <w:b w:val="false"/>
          <w:bCs w:val="false"/>
          <w:i/>
          <w:iCs/>
          <w:sz w:val="22"/>
          <w:szCs w:val="22"/>
        </w:rPr>
        <w:t xml:space="preserve">operationally complete</w:t>
      </w:r>
      <w:r>
        <w:rPr>
          <w:rFonts w:ascii="Arial" w:cs="Arial" w:eastAsia="Arial" w:hAnsi="Arial"/>
          <w:b w:val="false"/>
          <w:bCs w:val="false"/>
          <w:i w:val="false"/>
          <w:iCs w:val="false"/>
          <w:sz w:val="22"/>
          <w:szCs w:val="22"/>
        </w:rPr>
        <w:t xml:space="preserve"> at the corporate person-structure level. Each of the six corporate Groups identified in the v5_6_0_11 corporate person-structure scriptural-definition document — corporate spirit (lampstand of Rev. 1–3), corporate heart (one heart of Acts 4:32, Ezek. 11:19), corporate soul (one soul of Acts 4:32, Phil. 1:27), corporate mind (same mind of 1 Cor. 1:10, mind of Christ of Phil. 2:5), corporate body and action (body of Christ master-frame and Group V community-relational substrate), corporate structural frame (the present law's polity-architecture territory) — now holds at least one Foundational Law's operational articulation. The community gathered into operational life has Foundational-tier articulation of how it operates at every dimension of its corporate person-structure.</w:t>
      </w:r>
    </w:p>
    <w:p>
      <w:pPr>
        <w:spacing w:after="160" w:line="300"/>
      </w:pPr>
      <w:r>
        <w:rPr>
          <w:rFonts w:ascii="Arial" w:cs="Arial" w:eastAsia="Arial" w:hAnsi="Arial"/>
          <w:b/>
          <w:bCs/>
          <w:i w:val="false"/>
          <w:iCs w:val="false"/>
          <w:sz w:val="22"/>
          <w:szCs w:val="22"/>
        </w:rPr>
        <w:t xml:space="preserve">Second</w:t>
      </w:r>
      <w:r>
        <w:rPr>
          <w:rFonts w:ascii="Arial" w:cs="Arial" w:eastAsia="Arial" w:hAnsi="Arial"/>
          <w:b w:val="false"/>
          <w:bCs w:val="false"/>
          <w:i w:val="false"/>
          <w:iCs w:val="false"/>
          <w:sz w:val="22"/>
          <w:szCs w:val="22"/>
        </w:rPr>
        <w:t xml:space="preserve">, the completion validates the body-of-Christ master-frame's structural integration at v5_6_0_11. The master-frame holds all six corporate Groups in unified operation; the Period 3 row's completion across all six Groups demonstrates that the master-frame's articulation is operationally substantive rather than merely aspirational. The body-of-Christ master-frame names the integrative identity within which the community's operational dimensions occur; the Period 3 row's Foundational coverage names the operational dimensions themselves. The two together hold the community-scale articulation at both the master-frame level and the operational-dimension level.</w:t>
      </w:r>
    </w:p>
    <w:p>
      <w:pPr>
        <w:spacing w:after="160" w:line="300"/>
      </w:pPr>
      <w:r>
        <w:rPr>
          <w:rFonts w:ascii="Arial" w:cs="Arial" w:eastAsia="Arial" w:hAnsi="Arial"/>
          <w:b/>
          <w:bCs/>
          <w:i w:val="false"/>
          <w:iCs w:val="false"/>
          <w:sz w:val="22"/>
          <w:szCs w:val="22"/>
        </w:rPr>
        <w:t xml:space="preserve">Third</w:t>
      </w:r>
      <w:r>
        <w:rPr>
          <w:rFonts w:ascii="Arial" w:cs="Arial" w:eastAsia="Arial" w:hAnsi="Arial"/>
          <w:b w:val="false"/>
          <w:bCs w:val="false"/>
          <w:i w:val="false"/>
          <w:iCs w:val="false"/>
          <w:sz w:val="22"/>
          <w:szCs w:val="22"/>
        </w:rPr>
        <w:t xml:space="preserve">, the completion produces operational benchmarks for the catalog's other rows. The Period 0 row (eternal-pattern scale) currently holds entries across GI (FL.XV Hardening), GIV (FL.X Faith-Sight), GV (FL.I Sowing-and-Reaping; FL.VI Hear-and-Obey; FL.XVI Bondage), and GVI (FL.XXIII Sabbath Rest), with GII and GIII without Foundational entries — territory that may be addressed in subsequent revisions. The Period 1 row (individual scale) is densely populated and likely structurally complete. The Period 2 row (two-or-three scale) holds entries across GV (FL.V Reciprocal Forgiveness, FL.XII Honor-Authority) but is sparse elsewhere — the v5_6_0_13 marriage admission at P2/GVI will address one cell, with subsequent revisions potentially addressing the other underpopulated Period 2 cells. The Period 4 row (generational scale) is structurally complete at the Foundational tier per the v5_6_0_10 closing-of-Open-Unknowns observation. The Period 5 row (cosmic-eschatological scale) remains sparsely populated and is anticipated as v5_6_0_14-or-later work per the v5_6_0_11 Q4 sequencing.</w:t>
      </w:r>
    </w:p>
    <w:p>
      <w:pPr>
        <w:spacing w:after="160" w:line="300"/>
      </w:pPr>
      <w:r>
        <w:rPr>
          <w:rFonts w:ascii="Arial" w:cs="Arial" w:eastAsia="Arial" w:hAnsi="Arial"/>
          <w:b/>
          <w:bCs/>
          <w:i w:val="false"/>
          <w:iCs w:val="false"/>
          <w:sz w:val="22"/>
          <w:szCs w:val="22"/>
        </w:rPr>
        <w:t xml:space="preserve">Fourth</w:t>
      </w:r>
      <w:r>
        <w:rPr>
          <w:rFonts w:ascii="Arial" w:cs="Arial" w:eastAsia="Arial" w:hAnsi="Arial"/>
          <w:b w:val="false"/>
          <w:bCs w:val="false"/>
          <w:i w:val="false"/>
          <w:iCs w:val="false"/>
          <w:sz w:val="22"/>
          <w:szCs w:val="22"/>
        </w:rPr>
        <w:t xml:space="preserve">, the completion makes the Period 3 row available as a reference for understanding the catalog's full operational frame at the community scale. Researchers, pastoral practitioners, ecclesiologists, and seminary instructors who turn to the catalog for the community-scale operational articulation will find a complete Foundational-tier articulation across all six Groups, with the body-of-Christ master-frame providing the integrative-identity articulation and the ten Foundational Laws (and four non-Foundational entries) providing the operational-dimension articulation.</w:t>
      </w:r>
    </w:p>
    <w:p>
      <w:pPr>
        <w:spacing w:after="160" w:line="300"/>
      </w:pPr>
      <w:r>
        <w:rPr>
          <w:rFonts w:ascii="Arial" w:cs="Arial" w:eastAsia="Arial" w:hAnsi="Arial"/>
          <w:b w:val="false"/>
          <w:bCs w:val="false"/>
          <w:i w:val="false"/>
          <w:iCs w:val="false"/>
          <w:sz w:val="22"/>
          <w:szCs w:val="22"/>
        </w:rPr>
        <w:t xml:space="preserve">The Period 3 row's completion is not the catalog's terminus; subsequent expansion work will continue at the other rows, at the cross-scale relationships (the parent-child structure, the constitutive bidirectional paired-cell structure, the scale-invariant scope of certain laws like FL.XXIII), and at any additional articulation work the catalog's continued review surfaces. But the present milestone deserves explicit recognition as a structural-completion event in the catalog's history.</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6 — Six Group Families Section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Six Group Families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the Group VI treatment.</w:t>
      </w:r>
    </w:p>
    <w:p>
      <w:pPr>
        <w:spacing w:after="160" w:line="300"/>
      </w:pPr>
      <w:r>
        <w:rPr>
          <w:rFonts w:ascii="Arial" w:cs="Arial" w:eastAsia="Arial" w:hAnsi="Arial"/>
          <w:b/>
          <w:bCs/>
          <w:i w:val="false"/>
          <w:iCs w:val="false"/>
          <w:sz w:val="22"/>
          <w:szCs w:val="22"/>
        </w:rPr>
        <w:t xml:space="preserve">Group VI addition:</w:t>
      </w:r>
    </w:p>
    <w:p>
      <w:pPr>
        <w:spacing w:after="160" w:line="300"/>
      </w:pPr>
      <w:r>
        <w:rPr>
          <w:rFonts w:ascii="Arial" w:cs="Arial" w:eastAsia="Arial" w:hAnsi="Arial"/>
          <w:b w:val="false"/>
          <w:bCs w:val="false"/>
          <w:i w:val="false"/>
          <w:iCs w:val="false"/>
          <w:sz w:val="22"/>
          <w:szCs w:val="22"/>
        </w:rPr>
        <w:t xml:space="preserve">The Period 3 Group VI cell now holds FL.XXXIII Community Polity Structure / Ecclesial Architecture Law (v5_6_0_12 admission at Band 3) alongside the V2.Exp10 Skill Development anomaly. The cell's previous Foundational-tier absence has been the pending Group VI work since v5_6_0_8 Q4 sequencing and v5_6_0_10 Q4 confirmation; the v5_6_0_12 admission closes the under-population. The cell's Band 3 articulation parallels FL.XXIII Sabbath Rest Law's admission at the eternal-pattern row's Group VI cell — both laws hold their principle on multi-author scriptural footing while leaving specific operational forms to tradition-by-tradition theological work. The two Band 3 Group VI admissions (FL.XXIII at P0/GVI; FL.XXXIII at P3/GVI) establish a Group VI Band 3 pattern that may continue into subsequent Group VI work at the other rows.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7 — Closing Note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"Closing Note on v5_6_0_11" section header.</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to "Closing Note on v5_6_0_12" and revise contents.</w:t>
      </w:r>
    </w:p>
    <w:p>
      <w:pPr>
        <w:spacing w:after="160" w:line="300"/>
      </w:pPr>
      <w:r>
        <w:rPr>
          <w:rFonts w:ascii="Arial" w:cs="Arial" w:eastAsia="Arial" w:hAnsi="Arial"/>
          <w:b/>
          <w:bCs/>
          <w:i w:val="false"/>
          <w:iCs w:val="false"/>
          <w:sz w:val="22"/>
          <w:szCs w:val="22"/>
        </w:rPr>
        <w:t xml:space="preserve">Replacement section in full:</w:t>
      </w:r>
    </w:p>
    <w:p>
      <w:pPr>
        <w:pStyle w:val="Heading3"/>
        <w:spacing w:after="160" w:before="240"/>
      </w:pPr>
      <w:r>
        <w:rPr>
          <w:rFonts w:ascii="Arial" w:cs="Arial" w:eastAsia="Arial" w:hAnsi="Arial"/>
          <w:b/>
          <w:bCs/>
          <w:sz w:val="26"/>
          <w:szCs w:val="26"/>
        </w:rPr>
        <w:t xml:space="preserve">Closing Note on v5_6_0_12</w:t>
      </w:r>
    </w:p>
    <w:p>
      <w:pPr>
        <w:spacing w:after="160" w:line="300"/>
      </w:pPr>
      <w:r>
        <w:rPr>
          <w:rFonts w:ascii="Arial" w:cs="Arial" w:eastAsia="Arial" w:hAnsi="Arial"/>
          <w:b w:val="false"/>
          <w:bCs w:val="false"/>
          <w:i w:val="false"/>
          <w:iCs w:val="false"/>
          <w:sz w:val="22"/>
          <w:szCs w:val="22"/>
        </w:rPr>
        <w:t xml:space="preserve">The present revision is the v5_6_0_12 focused single-admission pass at P3/GVI per the v5_6_0_11 Q1 ratification. The pass admits FL.XXXIII Community Polity Structure / Ecclesial Architecture Law at Band 3 articulation (parallel to FL.XXIII Sabbath Rest Law's admission structure), closing the P3/GVI under-population that has been pending since v5_6_0_8 and producing the Period 3 community-scale row's first complete Foundational coverage across all six Groups in the catalog's history. The Vol 1 overview chapter is updated to v5_6_0_26 with the title moving from "Thirty-Two" to "Thirty-Three Operational Laws." The catalog at v5_6_0_12 holds 49 analyzed entries, 33 Foundational Laws, 9 Speculative ◆ entries, zero Open Unknowns, 1 anomaly (V2.Exp10 now alongside FL.XXXIII at the same cell), and 6 Vol 3 forward-references.</w:t>
      </w:r>
    </w:p>
    <w:p>
      <w:pPr>
        <w:spacing w:after="160" w:line="300"/>
      </w:pPr>
      <w:r>
        <w:rPr>
          <w:rFonts w:ascii="Arial" w:cs="Arial" w:eastAsia="Arial" w:hAnsi="Arial"/>
          <w:b w:val="false"/>
          <w:bCs w:val="false"/>
          <w:i w:val="false"/>
          <w:iCs w:val="false"/>
          <w:sz w:val="22"/>
          <w:szCs w:val="22"/>
        </w:rPr>
        <w:t xml:space="preserve">The next revision (v5_6_0_13) is anticipated to be the focused single-admission pass at P2/GVI per the v5_6_0_11 Q3 ratification, with marriage as the primary candidate for the dyadic pair-bond architecture admission. The candidate's operational scope, broad-acceptance footing, and articulation approach (full Foundational treatment or also Band 3) are anticipated v5_6_0_13 working judgments. Subsequent revisions are anticipated to address the Period 5 cosmic-eschatological territories per the v5_6_0_11 Q4 sequencing.</w:t>
      </w:r>
    </w:p>
    <w:p>
      <w:pPr>
        <w:spacing w:after="160" w:line="300"/>
      </w:pPr>
      <w:r>
        <w:rPr>
          <w:rFonts w:ascii="Arial" w:cs="Arial" w:eastAsia="Arial" w:hAnsi="Arial"/>
          <w:b w:val="false"/>
          <w:bCs w:val="false"/>
          <w:i w:val="false"/>
          <w:iCs w:val="false"/>
          <w:sz w:val="22"/>
          <w:szCs w:val="22"/>
        </w:rPr>
        <w:t xml:space="preserve">The expansion arc's cumulative achievement across v5_6_0_5 through v5_6_0_12 — twenty new Foundational Laws across eight revisions, bringing the Foundational tier from thirteen at v5_6_0_4 to thirty-three at the present revision — represents the catalog's most substantial sustained development. The architecture established at v5_6_0_5 has accommodated the entire expansion without modification, with the recent Band 3 admissions at FL.XXIII (Sabbath Rest) and FL.XXXIII (Community Polity Structure) demonstrating the band-of-closeness clarification's effective operation at the principle-vs-command edge cases. The body-of-Christ master-frame integrated at v5_6_0_11 continues to operate as the catalog's structural articulation of the corporate-scale integrative identity, and the Period 3 row's structural-completion at the present revision validates the master-frame's operational reach.</w:t>
      </w:r>
    </w:p>
    <w:p>
      <w:r>
        <w:br w:type="page"/>
      </w:r>
    </w:p>
    <w:p>
      <w:pPr>
        <w:pStyle w:val="Heading1"/>
        <w:spacing w:after="240" w:before="360"/>
      </w:pPr>
      <w:r>
        <w:rPr>
          <w:rFonts w:ascii="Arial" w:cs="Arial" w:eastAsia="Arial" w:hAnsi="Arial"/>
          <w:b/>
          <w:bCs/>
          <w:sz w:val="36"/>
          <w:szCs w:val="36"/>
        </w:rPr>
        <w:t xml:space="preserve">Section D · Residual Key Questions for v5_6_0_13</w:t>
      </w:r>
    </w:p>
    <w:p>
      <w:pPr>
        <w:spacing w:after="160" w:line="300"/>
      </w:pPr>
      <w:r>
        <w:rPr>
          <w:rFonts w:ascii="Arial" w:cs="Arial" w:eastAsia="Arial" w:hAnsi="Arial"/>
          <w:b w:val="false"/>
          <w:bCs w:val="false"/>
          <w:i w:val="false"/>
          <w:iCs w:val="false"/>
          <w:sz w:val="22"/>
          <w:szCs w:val="22"/>
        </w:rPr>
        <w:t xml:space="preserve">The v5_6_0_12 revision closes with four residual key questions for v5_6_0_13 attention. Each question has a working judgment in italics that you may ratify or counter-propose.</w:t>
      </w:r>
    </w:p>
    <w:p>
      <w:pPr>
        <w:pStyle w:val="Heading2"/>
        <w:spacing w:after="160" w:before="240"/>
      </w:pPr>
      <w:r>
        <w:rPr>
          <w:rFonts w:ascii="Arial" w:cs="Arial" w:eastAsia="Arial" w:hAnsi="Arial"/>
          <w:b/>
          <w:bCs/>
          <w:sz w:val="30"/>
          <w:szCs w:val="30"/>
        </w:rPr>
        <w:t xml:space="preserve">Q1 — Confirm Marriage as v5_6_0_13 Admission</w:t>
      </w:r>
    </w:p>
    <w:p>
      <w:pPr>
        <w:spacing w:after="160" w:line="300"/>
      </w:pPr>
      <w:r>
        <w:rPr>
          <w:rFonts w:ascii="Arial" w:cs="Arial" w:eastAsia="Arial" w:hAnsi="Arial"/>
          <w:b w:val="false"/>
          <w:bCs w:val="false"/>
          <w:i w:val="false"/>
          <w:iCs w:val="false"/>
          <w:sz w:val="22"/>
          <w:szCs w:val="22"/>
        </w:rPr>
        <w:t xml:space="preserve">The v5_6_0_11 Q3 ratification established marriage at P2/GVI as the primary candidate for the dyadic pair-bond architecture admission. Should v5_6_0_13 proceed with marriage as the focused single-admission, or should other dyadic candidates (close-friendship covenant per Jonathan-David type; discipleship dyad per Paul-Timothy type) be considered for primary admission?</w:t>
      </w:r>
    </w:p>
    <w:p>
      <w:pPr>
        <w:spacing w:after="160" w:line="300"/>
      </w:pPr>
      <w:r>
        <w:rPr>
          <w:rFonts w:ascii="Arial" w:cs="Arial" w:eastAsia="Arial" w:hAnsi="Arial"/>
          <w:b/>
          <w:bCs/>
          <w:i/>
          <w:iCs/>
          <w:sz w:val="22"/>
          <w:szCs w:val="22"/>
        </w:rPr>
        <w:t xml:space="preserve">Working judgment: marriage proceeds as the primary admission.</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Marriage has exceptional multi-author scriptural support (Gen. 2:18–25; Mal. 2:14; Matt. 19:4–6; Eph. 5:22–33; Heb. 13:4; the broader OT marriage-and-covenant corpus; the NT marriage-and-marriage-supper material), uncontested broad acceptance across mainstream Christian traditions, clear directionality (covenant-architecture conditions the operational dynamics within the dyad), and principle-level operation at the dyadic-pair-bond scale. The friendship-covenant and discipleship-dyad candidates have legitimate operational territory but are less canonically-articulated as distinct laws and may be either held in the marriage chapter as related dyadic-architectural forms or addressed in subsequent revisions as separate admissions.</w:t>
      </w:r>
    </w:p>
    <w:p>
      <w:pPr>
        <w:pStyle w:val="Heading2"/>
        <w:spacing w:after="160" w:before="240"/>
      </w:pPr>
      <w:r>
        <w:rPr>
          <w:rFonts w:ascii="Arial" w:cs="Arial" w:eastAsia="Arial" w:hAnsi="Arial"/>
          <w:b/>
          <w:bCs/>
          <w:sz w:val="30"/>
          <w:szCs w:val="30"/>
        </w:rPr>
        <w:t xml:space="preserve">Q2 — Marriage Articulation Approach</w:t>
      </w:r>
    </w:p>
    <w:p>
      <w:pPr>
        <w:spacing w:after="160" w:line="300"/>
      </w:pPr>
      <w:r>
        <w:rPr>
          <w:rFonts w:ascii="Arial" w:cs="Arial" w:eastAsia="Arial" w:hAnsi="Arial"/>
          <w:b w:val="false"/>
          <w:bCs w:val="false"/>
          <w:i w:val="false"/>
          <w:iCs w:val="false"/>
          <w:sz w:val="22"/>
          <w:szCs w:val="22"/>
        </w:rPr>
        <w:t xml:space="preserve">FL.XXIII Sabbath Rest Law and FL.XXXIII Community Polity Structure Law both operate at Band 3 articulation. Marriage's broad-acceptance footing across traditions is more uniform than polity's — the Catholic, Orthodox, Reformed, Wesleyan, Anabaptist, Pentecostal, and broader evangelical traditions all hold marriage substantially on operational form rather than only on principle (covenant-monogamy between man and woman; the husband-wife relational architecture; the procreation-and-companionship purposes; the eschatological grounding in Eph. 5's Christ-and-Church image). Should marriage be admitted at full Foundational treatment (Band 1 or Band 2) or also at Band 3 articulation?</w:t>
      </w:r>
    </w:p>
    <w:p>
      <w:pPr>
        <w:spacing w:after="160" w:line="300"/>
      </w:pPr>
      <w:r>
        <w:rPr>
          <w:rFonts w:ascii="Arial" w:cs="Arial" w:eastAsia="Arial" w:hAnsi="Arial"/>
          <w:b/>
          <w:bCs/>
          <w:i/>
          <w:iCs/>
          <w:sz w:val="22"/>
          <w:szCs w:val="22"/>
        </w:rPr>
        <w:t xml:space="preserve">Working judgment: Band 1 or Band 2 articulation, not Band 3.</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Marriage's broad-acceptance footing at the operational form (covenant-monogamy between man and woman) is held with substantially more uniformity across mainstream Christian traditions than polity-structure's operational form. Band 3 articulation is structurally appropriate for principles whose operational forms are contested across traditions; marriage's operational form is much more uniformly held. The candidate could be admitted at Band 1 (clearly-distinguishable principle from any specific application) or Band 2 (principle-with-pathway-specified, where the dyadic-covenant-architecture pathway is part of the principle's articulation). Counter-propose if you prefer Band 3 articulation to accommodate the contemporary contestation on marriage definition.</w:t>
      </w:r>
    </w:p>
    <w:p>
      <w:pPr>
        <w:pStyle w:val="Heading2"/>
        <w:spacing w:after="160" w:before="240"/>
      </w:pPr>
      <w:r>
        <w:rPr>
          <w:rFonts w:ascii="Arial" w:cs="Arial" w:eastAsia="Arial" w:hAnsi="Arial"/>
          <w:b/>
          <w:bCs/>
          <w:sz w:val="30"/>
          <w:szCs w:val="30"/>
        </w:rPr>
        <w:t xml:space="preserve">Q3 — Friendship-Covenant and Discipleship-Dyad Treatment</w:t>
      </w:r>
    </w:p>
    <w:p>
      <w:pPr>
        <w:spacing w:after="160" w:line="300"/>
      </w:pPr>
      <w:r>
        <w:rPr>
          <w:rFonts w:ascii="Arial" w:cs="Arial" w:eastAsia="Arial" w:hAnsi="Arial"/>
          <w:b w:val="false"/>
          <w:bCs w:val="false"/>
          <w:i w:val="false"/>
          <w:iCs w:val="false"/>
          <w:sz w:val="22"/>
          <w:szCs w:val="22"/>
        </w:rPr>
        <w:t xml:space="preserve">The dyadic pair-bond architecture at P2/GVI includes operational territory beyond marriage — the close-friendship covenant (Jonathan-David type), the discipleship dyad (Paul-Timothy type, Elijah-Elisha type, Naomi-Ruth type), the spiritual-direction pair (the patristic anam cara tradition; the modern spiritual direction tradition). Should the v5_6_0_13 marriage chapter include these as related dyadic-architectural forms within its broader articulation, or should they be held for subsequent revisions as potential separate admissions?</w:t>
      </w:r>
    </w:p>
    <w:p>
      <w:pPr>
        <w:spacing w:after="160" w:line="300"/>
      </w:pPr>
      <w:r>
        <w:rPr>
          <w:rFonts w:ascii="Arial" w:cs="Arial" w:eastAsia="Arial" w:hAnsi="Arial"/>
          <w:b/>
          <w:bCs/>
          <w:i/>
          <w:iCs/>
          <w:sz w:val="22"/>
          <w:szCs w:val="22"/>
        </w:rPr>
        <w:t xml:space="preserve">Working judgment: held in marriage chapter as related dyadic-architectural forms, with separate-admission potential preserved for subsequent revisions.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marriage chapter's scope can include a sub-section articulating the broader dyadic-pair-bond architectural territory — the operational principle that some dyadic covenant operates as the architectural framework conditioning the dyad's operations applies beyond marriage to the close-friendship covenant, discipleship dyad, and spiritual-direction pair cases. The articulation in the marriage chapter would preserve the principle's broader scope while admitting marriage as the canonically-articulated primary case. If subsequent work surfaces operational distinctness in the non-marriage cases warranting separate Foundational Law admission, those would be addressed in later revisions.</w:t>
      </w:r>
    </w:p>
    <w:p>
      <w:pPr>
        <w:pStyle w:val="Heading2"/>
        <w:spacing w:after="160" w:before="240"/>
      </w:pPr>
      <w:r>
        <w:rPr>
          <w:rFonts w:ascii="Arial" w:cs="Arial" w:eastAsia="Arial" w:hAnsi="Arial"/>
          <w:b/>
          <w:bCs/>
          <w:sz w:val="30"/>
          <w:szCs w:val="30"/>
        </w:rPr>
        <w:t xml:space="preserve">Q4 — Period 5 Sequencing Reconfirmation</w:t>
      </w:r>
    </w:p>
    <w:p>
      <w:pPr>
        <w:spacing w:after="160" w:line="300"/>
      </w:pPr>
      <w:r>
        <w:rPr>
          <w:rFonts w:ascii="Arial" w:cs="Arial" w:eastAsia="Arial" w:hAnsi="Arial"/>
          <w:b w:val="false"/>
          <w:bCs w:val="false"/>
          <w:i w:val="false"/>
          <w:iCs w:val="false"/>
          <w:sz w:val="22"/>
          <w:szCs w:val="22"/>
        </w:rPr>
        <w:t xml:space="preserve">The v5_6_0_11 Q4 ratification established Group VI middle-scales first, Period 5 in v5_6_0_13-or-later. After v5_6_0_13's marriage admission at P2/GVI, the Group VI architectural-framework work at middle scales will be substantially complete (P3/GVI closed at v5_6_0_12; P2/GVI closing at v5_6_0_13; with P0/GVI held by FL.XXIII Sabbath Rest and P4/GVI held by FL.XXVIII Generational Nested Structure). Should v5_6_0_14 begin Period 5 work, or are there other under-populated cells (Period 0 / GII, GIII; Period 2 / GI, GII, GIII, GIV) warranting attention first?</w:t>
      </w:r>
    </w:p>
    <w:p>
      <w:pPr>
        <w:spacing w:after="160" w:line="300"/>
      </w:pPr>
      <w:r>
        <w:rPr>
          <w:rFonts w:ascii="Arial" w:cs="Arial" w:eastAsia="Arial" w:hAnsi="Arial"/>
          <w:b/>
          <w:bCs/>
          <w:i/>
          <w:iCs/>
          <w:sz w:val="22"/>
          <w:szCs w:val="22"/>
        </w:rPr>
        <w:t xml:space="preserve">Working judgment: v5_6_0_14 begins Period 5 work as previously sequenced.</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Period 5 cosmic-eschatological territories are the largest remaining sparse-territory in the catalog's scope, and the v5_6_0_11 Q4 sequencing was established with this in view. The other under-populated cells (P0/GII, P0/GIII; P2/GI–GIV) may warrant subsequent attention but do not have the structural-significance of the Period 5 sparseness territory. The Period 5 work could include: Heavenly Worship Architecture (Rev. 4–5, related to FL.XXXII's eschatological grounding); Suffering-as-Formation Loop's eventual companion entries at the cosmic scale (related to FL.XXII Endurance-Hope Law); the apocalyptic-imagination material; the eschatological-people-of-God scale (related to FL.XXVIII Generational Nested Structure Law's outermost scale). Counter-propose if you prefer to address other under-populated cells before Period 5.</w:t>
      </w:r>
    </w:p>
    <w:p>
      <w:r>
        <w:br w:type="page"/>
      </w:r>
    </w:p>
    <w:p>
      <w:pPr>
        <w:pStyle w:val="Heading1"/>
        <w:spacing w:after="240" w:before="360"/>
      </w:pPr>
      <w:r>
        <w:rPr>
          <w:rFonts w:ascii="Arial" w:cs="Arial" w:eastAsia="Arial" w:hAnsi="Arial"/>
          <w:b/>
          <w:bCs/>
          <w:sz w:val="36"/>
          <w:szCs w:val="36"/>
        </w:rPr>
        <w:t xml:space="preserve">Section E · Closing Note</w:t>
      </w:r>
    </w:p>
    <w:p>
      <w:pPr>
        <w:spacing w:after="160" w:line="300"/>
      </w:pPr>
      <w:r>
        <w:rPr>
          <w:rFonts w:ascii="Arial" w:cs="Arial" w:eastAsia="Arial" w:hAnsi="Arial"/>
          <w:b w:val="false"/>
          <w:bCs w:val="false"/>
          <w:i w:val="false"/>
          <w:iCs w:val="false"/>
          <w:sz w:val="22"/>
          <w:szCs w:val="22"/>
        </w:rPr>
        <w:t xml:space="preserve">The v5_6_0_12 revision completes the Group VI architectural-framework work at the community scale by admitting FL.XXXIII Community Polity Structure / Ecclesial Architecture Law at Band 3. The admission closes the P3/GVI under-population and produces the Period 3 row's first complete Foundational coverage across all six Groups in the catalog's history — a structural-completion milestone in the catalog's development.</w:t>
      </w:r>
    </w:p>
    <w:p>
      <w:pPr>
        <w:spacing w:after="160" w:line="300"/>
      </w:pPr>
      <w:r>
        <w:rPr>
          <w:rFonts w:ascii="Arial" w:cs="Arial" w:eastAsia="Arial" w:hAnsi="Arial"/>
          <w:b w:val="false"/>
          <w:bCs w:val="false"/>
          <w:i w:val="false"/>
          <w:iCs w:val="false"/>
          <w:sz w:val="22"/>
          <w:szCs w:val="22"/>
        </w:rPr>
        <w:t xml:space="preserve">The expansion arc's cumulative achievement deserves explicit observation. Twenty new Foundational Laws across eight revisions (v5_6_0_5 through v5_6_0_12), with the Foundational tier growing from thirteen at v5_6_0_4 to thirty-three at v5_6_0_12, represents the catalog's most substantial sustained development to date. The v5_6_0_5 architecture continues to accommodate the expansion without modification. The Band 3 admissions at FL.XXIII (Sabbath Rest) and FL.XXXIII (Community Polity Structure) have established the band-of-closeness clarification's effective operation at the principle-vs-command edge cases. The body-of-Christ master-frame integrated at v5_6_0_11 continues to operate as the catalog's structural articulation of the corporate-scale integrative identity; the Period 3 row's structural-completion at the present revision validates the master-frame's operational reach.</w:t>
      </w:r>
    </w:p>
    <w:p>
      <w:pPr>
        <w:spacing w:after="160" w:line="300"/>
      </w:pPr>
      <w:r>
        <w:rPr>
          <w:rFonts w:ascii="Arial" w:cs="Arial" w:eastAsia="Arial" w:hAnsi="Arial"/>
          <w:b w:val="false"/>
          <w:bCs w:val="false"/>
          <w:i w:val="false"/>
          <w:iCs w:val="false"/>
          <w:sz w:val="22"/>
          <w:szCs w:val="22"/>
        </w:rPr>
        <w:t xml:space="preserve">The next revision (v5_6_0_13) is anticipated to address the dyadic pair-bond architecture at P2/GVI with marriage as the primary candidate. The candidate has exceptional multi-author scriptural support and uncontested broad acceptance on operational form — the v5_6_0_13 admission is anticipated to operate at Band 1 or Band 2 rather than Band 3, with the broader dyadic-pair-bond architectural territory (close-friendship covenant; discipleship dyad; spiritual-direction pair) held in the marriage chapter as related dyadic-architectural forms. Subsequent revisions will address the Period 5 cosmic-eschatological territories per the v5_6_0_11 Q4 sequencing.</w:t>
      </w:r>
    </w:p>
    <w:p>
      <w:pPr>
        <w:spacing w:after="160" w:line="300"/>
      </w:pPr>
      <w:r>
        <w:rPr>
          <w:rFonts w:ascii="Arial" w:cs="Arial" w:eastAsia="Arial" w:hAnsi="Arial"/>
          <w:b w:val="false"/>
          <w:bCs w:val="false"/>
          <w:i w:val="false"/>
          <w:iCs w:val="false"/>
          <w:sz w:val="22"/>
          <w:szCs w:val="22"/>
        </w:rPr>
        <w:t xml:space="preserve">Awaiting your ratification of the four residual key questions for v5_6_0_13.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2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2026-05-21T22:42:32.856Z</dcterms:created>
  <dcterms:modified xsi:type="dcterms:W3CDTF">2026-05-21T22:42:32.869Z</dcterms:modified>
</cp:coreProperties>
</file>

<file path=docProps/custom.xml><?xml version="1.0" encoding="utf-8"?>
<Properties xmlns="http://schemas.openxmlformats.org/officeDocument/2006/custom-properties" xmlns:vt="http://schemas.openxmlformats.org/officeDocument/2006/docPropsVTypes"/>
</file>