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IJH Council, 6 September 2026 — Changes since 28 June</w:t>
      </w:r>
    </w:p>
    <w:p>
      <w:pPr>
        <w:pStyle w:val="Subtitle"/>
      </w:pPr>
      <w:r>
        <w:t xml:space="preserve">Told · Asking · Waiting</w:t>
      </w:r>
    </w:p>
    <w:p>
      <w:pPr>
        <w:pStyle w:val="Author"/>
      </w:pPr>
      <w:r>
        <w:t xml:space="preserve">John G. Tittle</w:t>
      </w:r>
    </w:p>
    <w:p>
      <w:pPr>
        <w:pStyle w:val="Date"/>
      </w:pPr>
      <w:r>
        <w:t xml:space="preserve">Agenda item, draft 5 September 2026</w:t>
      </w:r>
    </w:p>
    <w:p>
      <w:pPr>
        <w:pStyle w:val="FirstParagraph"/>
      </w:pPr>
      <w:r>
        <w:rPr>
          <w:b/>
          <w:bCs/>
        </w:rPr>
        <w:t xml:space="preserve">Reference point:</w:t>
      </w:r>
      <w:r>
        <w:t xml:space="preserve"> </w:t>
      </w:r>
      <w:r>
        <w:t xml:space="preserve">the last Council meeting, face to face, 28 June 2026. Since then: about ninety commits on the working repository, twenty-six mirrors to the published site, the last on 31 August. Everything published since June appears below under</w:t>
      </w:r>
      <w:r>
        <w:t xml:space="preserve"> </w:t>
      </w:r>
      <w:r>
        <w:rPr>
          <w:i/>
          <w:iCs/>
        </w:rPr>
        <w:t xml:space="preserve">Told</w:t>
      </w:r>
      <w:r>
        <w:t xml:space="preserve"> </w:t>
      </w:r>
      <w:r>
        <w:t xml:space="preserve">or</w:t>
      </w:r>
      <w:r>
        <w:t xml:space="preserve"> </w:t>
      </w:r>
      <w:r>
        <w:rPr>
          <w:i/>
          <w:iCs/>
        </w:rPr>
        <w:t xml:space="preserve">Asking</w:t>
      </w:r>
      <w:r>
        <w:t xml:space="preserve">. This is the first monthly changes note under the proposed light rule; if the rule is adopted today, this becomes the first Council Log entry.</w:t>
      </w:r>
    </w:p>
    <w:bookmarkStart w:id="9" w:name="first-the-spiritual-authority-question"/>
    <w:p>
      <w:pPr>
        <w:pStyle w:val="Heading2"/>
      </w:pPr>
      <w:r>
        <w:t xml:space="preserve">First — the spiritual-authority question</w:t>
      </w:r>
    </w:p>
    <w:p>
      <w:pPr>
        <w:pStyle w:val="FirstParagraph"/>
      </w:pPr>
      <w:r>
        <w:t xml:space="preserve">The Council paper says this body is under a spiritual authority that has yet to be identified and must be clarified before initiation. It has been open since April. I have four possible sources, in my order of preference, and I want the Council’s counsel on them today, not a decision:</w:t>
      </w:r>
    </w:p>
    <w:p>
      <w:pPr>
        <w:pStyle w:val="Compact"/>
        <w:numPr>
          <w:ilvl w:val="0"/>
          <w:numId w:val="1001"/>
        </w:numPr>
      </w:pPr>
      <w:r>
        <w:rPr>
          <w:b/>
          <w:bCs/>
        </w:rPr>
        <w:t xml:space="preserve">The Living Hope elders.</w:t>
      </w:r>
      <w:r>
        <w:t xml:space="preserve"> </w:t>
      </w:r>
      <w:r>
        <w:t xml:space="preserve">The names I have in mind are Bill Fairback and Ryan Hammond.</w:t>
      </w:r>
    </w:p>
    <w:p>
      <w:pPr>
        <w:pStyle w:val="Compact"/>
        <w:numPr>
          <w:ilvl w:val="0"/>
          <w:numId w:val="1001"/>
        </w:numPr>
      </w:pPr>
      <w:r>
        <w:rPr>
          <w:b/>
          <w:bCs/>
        </w:rPr>
        <w:t xml:space="preserve">CCA’s covering,</w:t>
      </w:r>
      <w:r>
        <w:t xml:space="preserve"> </w:t>
      </w:r>
      <w:r>
        <w:t xml:space="preserve">for evening meetings on their premises.</w:t>
      </w:r>
    </w:p>
    <w:p>
      <w:pPr>
        <w:pStyle w:val="Compact"/>
        <w:numPr>
          <w:ilvl w:val="0"/>
          <w:numId w:val="1001"/>
        </w:numPr>
      </w:pPr>
      <w:r>
        <w:rPr>
          <w:b/>
          <w:bCs/>
        </w:rPr>
        <w:t xml:space="preserve">AJ McGraw,</w:t>
      </w:r>
      <w:r>
        <w:t xml:space="preserve"> </w:t>
      </w:r>
      <w:r>
        <w:t xml:space="preserve">executive pastor at Grace Covenant Church.</w:t>
      </w:r>
    </w:p>
    <w:p>
      <w:pPr>
        <w:pStyle w:val="Compact"/>
        <w:numPr>
          <w:ilvl w:val="0"/>
          <w:numId w:val="1001"/>
        </w:numPr>
      </w:pPr>
      <w:r>
        <w:rPr>
          <w:b/>
          <w:bCs/>
        </w:rPr>
        <w:t xml:space="preserve">The Crucible Project.</w:t>
      </w:r>
    </w:p>
    <w:p>
      <w:pPr>
        <w:pStyle w:val="FirstParagraph"/>
      </w:pPr>
      <w:r>
        <w:t xml:space="preserve">Three questions for the discussion. Does the first choice carry the answer for the whole body, founder and Council together, or only for a fellowship meeting in my home? Should more than one be in place at once, since an evening group on CCA premises would need the second as well as the first? And is there a candidate missing from the list? The Covering Briefing draft in the packet is the instrument for approaching whichever we settle on; the first ask of it is to hear eight sittings before answering.</w:t>
      </w:r>
    </w:p>
    <w:bookmarkEnd w:id="9"/>
    <w:bookmarkStart w:id="10" w:name="for-the-record-28-june"/>
    <w:p>
      <w:pPr>
        <w:pStyle w:val="Heading2"/>
      </w:pPr>
      <w:r>
        <w:t xml:space="preserve">For the record — 28 June</w:t>
      </w:r>
    </w:p>
    <w:p>
      <w:pPr>
        <w:pStyle w:val="FirstParagraph"/>
      </w:pPr>
      <w:r>
        <w:t xml:space="preserve">No minutes of the June meeting are on file. From memory, and offered here so the Council can confirm or correct it before it becomes the first Log entry: the Council discussed and</w:t>
      </w:r>
      <w:r>
        <w:t xml:space="preserve"> </w:t>
      </w:r>
      <w:r>
        <w:rPr>
          <w:b/>
          <w:bCs/>
        </w:rPr>
        <w:t xml:space="preserve">approved by consent</w:t>
      </w:r>
      <w:r>
        <w:t xml:space="preserve"> </w:t>
      </w:r>
      <w:r>
        <w:t xml:space="preserve">the two new Foundational Laws, FL.XLVII The Word’s-Efficacy Law and FL.XLVIII The Image-Bearing Law (minted 1 July and published 3 July on the strength of that consent); Volume 4’s</w:t>
      </w:r>
      <w:r>
        <w:t xml:space="preserve"> </w:t>
      </w:r>
      <w:r>
        <w:rPr>
          <w:i/>
          <w:iCs/>
        </w:rPr>
        <w:t xml:space="preserve">Before You Measure</w:t>
      </w:r>
      <w:r>
        <w:t xml:space="preserve"> </w:t>
      </w:r>
      <w:r>
        <w:t xml:space="preserve">discussion, published 17 July; and the Formation Companion’s credentialing limit, published 29 July. The Meta-Law Layer was not discussed. It is ask 1 below.</w:t>
      </w:r>
    </w:p>
    <w:bookmarkEnd w:id="10"/>
    <w:bookmarkStart w:id="11" w:name="asking-needs-the-councils-word"/>
    <w:p>
      <w:pPr>
        <w:pStyle w:val="Heading2"/>
      </w:pPr>
      <w:r>
        <w:t xml:space="preserve">Asking — needs the Council’s word</w:t>
      </w:r>
    </w:p>
    <w:p>
      <w:pPr>
        <w:pStyle w:val="Compact"/>
        <w:numPr>
          <w:ilvl w:val="0"/>
          <w:numId w:val="1002"/>
        </w:numPr>
      </w:pPr>
      <w:r>
        <w:rPr>
          <w:b/>
          <w:bCs/>
        </w:rPr>
        <w:t xml:space="preserve">The Meta-Law Layer on the Periodic Table.</w:t>
      </w:r>
      <w:r>
        <w:t xml:space="preserve"> </w:t>
      </w:r>
      <w:r>
        <w:t xml:space="preserve">A new law type (Meta / Cycle) with spanning tags, the Role Atlas from three addresses to four, Scale-Transfer named as a governing meta-law, and the Inclusion Bar’s parts-versus-whole distinction. A structural change to the catalog, published 3 July without the Council having heard it. I say so plainly; the light rule exists so this does not happen again.</w:t>
      </w:r>
      <w:r>
        <w:t xml:space="preserve"> </w:t>
      </w:r>
      <w:r>
        <w:rPr>
          <w:i/>
          <w:iCs/>
        </w:rPr>
        <w:t xml:space="preserve">Retroactive ask.</w:t>
      </w:r>
    </w:p>
    <w:p>
      <w:pPr>
        <w:pStyle w:val="Compact"/>
        <w:numPr>
          <w:ilvl w:val="0"/>
          <w:numId w:val="1002"/>
        </w:numPr>
      </w:pPr>
      <w:r>
        <w:rPr>
          <w:b/>
          <w:bCs/>
        </w:rPr>
        <w:t xml:space="preserve">The light rule,</w:t>
      </w:r>
      <w:r>
        <w:rPr>
          <w:b/>
          <w:bCs/>
        </w:rPr>
        <w:t xml:space="preserve"> </w:t>
      </w:r>
      <w:r>
        <w:rPr>
          <w:b/>
          <w:bCs/>
        </w:rPr>
        <w:t xml:space="preserve">“Governance for a Quiet Season.”</w:t>
      </w:r>
      <w:r>
        <w:t xml:space="preserve"> </w:t>
      </w:r>
      <w:r>
        <w:t xml:space="preserve">Adopt it in place of the never-ratified Part 1 process. It also settles June’s unfinished business: the schema and contributor guide drafted for ratification in June never reached the repository root. The light rule shelves those and starts the Council Log with the record above and this meeting.</w:t>
      </w:r>
      <w:r>
        <w:t xml:space="preserve"> </w:t>
      </w:r>
      <w:r>
        <w:rPr>
          <w:i/>
          <w:iCs/>
        </w:rPr>
        <w:t xml:space="preserve">Draft in the packet; not published.</w:t>
      </w:r>
    </w:p>
    <w:p>
      <w:pPr>
        <w:pStyle w:val="Compact"/>
        <w:numPr>
          <w:ilvl w:val="0"/>
          <w:numId w:val="1002"/>
        </w:numPr>
      </w:pPr>
      <w:r>
        <w:rPr>
          <w:b/>
          <w:bCs/>
        </w:rPr>
        <w:t xml:space="preserve">Two foundation inserts.</w:t>
      </w:r>
      <w:r>
        <w:t xml:space="preserve"> </w:t>
      </w:r>
      <w:r>
        <w:t xml:space="preserve">Scripture as the unrated ground under the four principles, with its twin, that God still speaks now and never against what He has written; and a one-page Volume 2 chapter,</w:t>
      </w:r>
      <w:r>
        <w:t xml:space="preserve"> </w:t>
      </w:r>
      <w:r>
        <w:t xml:space="preserve">“Before the Tools: What This Volume Assumes,”</w:t>
      </w:r>
      <w:r>
        <w:t xml:space="preserve"> </w:t>
      </w:r>
      <w:r>
        <w:t xml:space="preserve">five assumptions answering the four questions Exploration 0 asks of every imported tool, plus covering.</w:t>
      </w:r>
      <w:r>
        <w:t xml:space="preserve"> </w:t>
      </w:r>
      <w:r>
        <w:rPr>
          <w:i/>
          <w:iCs/>
        </w:rPr>
        <w:t xml:space="preserve">Draft in the packet; not published.</w:t>
      </w:r>
    </w:p>
    <w:p>
      <w:pPr>
        <w:pStyle w:val="Compact"/>
        <w:numPr>
          <w:ilvl w:val="0"/>
          <w:numId w:val="1002"/>
        </w:numPr>
      </w:pPr>
      <w:r>
        <w:rPr>
          <w:b/>
          <w:bCs/>
        </w:rPr>
        <w:t xml:space="preserve">The Succession Letter.</w:t>
      </w:r>
      <w:r>
        <w:t xml:space="preserve"> </w:t>
      </w:r>
      <w:r>
        <w:t xml:space="preserve">I re-sign it before the Council today, dated 6 September 2026, with Council members as witnesses. David R. Smith as Theological Successor, John David Tittle as Literary Executor. Part 3 mirrors afterward.</w:t>
      </w:r>
    </w:p>
    <w:p>
      <w:pPr>
        <w:pStyle w:val="Compact"/>
        <w:numPr>
          <w:ilvl w:val="0"/>
          <w:numId w:val="1002"/>
        </w:numPr>
      </w:pPr>
      <w:r>
        <w:rPr>
          <w:b/>
          <w:bCs/>
        </w:rPr>
        <w:t xml:space="preserve">Small.</w:t>
      </w:r>
      <w:r>
        <w:t xml:space="preserve"> </w:t>
      </w:r>
      <w:r>
        <w:t xml:space="preserve">The hear-and-obey traceability study, now all forty-eight laws with a colored grid over the table: promote it to the Research Register as a finished trail, or leave it a working note.</w:t>
      </w:r>
    </w:p>
    <w:p>
      <w:pPr>
        <w:pStyle w:val="Compact"/>
        <w:numPr>
          <w:ilvl w:val="0"/>
          <w:numId w:val="1002"/>
        </w:numPr>
      </w:pPr>
      <w:r>
        <w:rPr>
          <w:b/>
          <w:bCs/>
        </w:rPr>
        <w:t xml:space="preserve">A34, The Throne Question.</w:t>
      </w:r>
      <w:r>
        <w:t xml:space="preserve"> </w:t>
      </w:r>
      <w:r>
        <w:t xml:space="preserve">A new Part VI protocol for the idol on the throne, the one blockage in Volume 2 that had no operational form. Repentance, not warfare: Keller’s question asked three ways, the functional savior named before a witness, and one turn of the heart to Christ, with a thirty-day practice after. New practice for real people, so it is an ask.</w:t>
      </w:r>
      <w:r>
        <w:t xml:space="preserve"> </w:t>
      </w:r>
      <w:r>
        <w:rPr>
          <w:i/>
          <w:iCs/>
        </w:rPr>
        <w:t xml:space="preserve">Draft in the packet; not published.</w:t>
      </w:r>
      <w:r>
        <w:t xml:space="preserve"> </w:t>
      </w:r>
      <w:r>
        <w:t xml:space="preserve">It came out of the Tool Map Matrix, a working reference listed under Told.</w:t>
      </w:r>
    </w:p>
    <w:p>
      <w:pPr>
        <w:pStyle w:val="Compact"/>
        <w:numPr>
          <w:ilvl w:val="0"/>
          <w:numId w:val="1002"/>
        </w:numPr>
      </w:pPr>
      <w:r>
        <w:rPr>
          <w:b/>
          <w:bCs/>
        </w:rPr>
        <w:t xml:space="preserve">A candidate Foundational Law: FL.XLIX, The Household Hearing Law.</w:t>
      </w:r>
      <w:r>
        <w:t xml:space="preserve"> </w:t>
      </w:r>
      <w:r>
        <w:t xml:space="preserve">Raised the evening before this meeting. When a parent deliberately teaches a child to recognize God’s voice in His Word and to do what He says, in the ordinary rhythm of the household, the child comes to hear and obey Him for themselves; where the teaching is absent, or harsh enough to close the ear, the next generation grows up not knowing Him. A dyad-scale sibling of FL.XXI Household Formation, the first Foundational Law in the Period 2 Heart cell, and the parents’ half of the pair whose children’s half is FL.XII. Eli teaching Samuel what to say when the voice comes is its type-text, and 1 Samuel 3 and Ephesians 6:4 appear nowhere else in the six volumes. The ask is admission to the newer tier, or absorption into FL.XXI if the Council judges the territory already held. A new law, so it is an ask; the chapter draft is in the packet and will be rewritten in my words before anything is published.</w:t>
      </w:r>
      <w:r>
        <w:t xml:space="preserve"> </w:t>
      </w:r>
      <w:r>
        <w:rPr>
          <w:i/>
          <w:iCs/>
        </w:rPr>
        <w:t xml:space="preserve">Draft in the packet; not published.</w:t>
      </w:r>
    </w:p>
    <w:bookmarkEnd w:id="11"/>
    <w:bookmarkStart w:id="12" w:name="told-done-and-published-on-my-word"/>
    <w:p>
      <w:pPr>
        <w:pStyle w:val="Heading2"/>
      </w:pPr>
      <w:r>
        <w:t xml:space="preserve">Told — done and published on my word</w:t>
      </w:r>
    </w:p>
    <w:p>
      <w:pPr>
        <w:pStyle w:val="Compact"/>
        <w:numPr>
          <w:ilvl w:val="0"/>
          <w:numId w:val="1003"/>
        </w:numPr>
      </w:pPr>
      <w:r>
        <w:rPr>
          <w:b/>
          <w:bCs/>
        </w:rPr>
        <w:t xml:space="preserve">The front door.</w:t>
      </w:r>
      <w:r>
        <w:t xml:space="preserve"> </w:t>
      </w:r>
      <w:r>
        <w:t xml:space="preserve">The Country of the Heart map as the one-page front piece; the home page re-sequenced as a single story;</w:t>
      </w:r>
      <w:r>
        <w:t xml:space="preserve"> </w:t>
      </w:r>
      <w:r>
        <w:rPr>
          <w:i/>
          <w:iCs/>
        </w:rPr>
        <w:t xml:space="preserve">What I Found</w:t>
      </w:r>
      <w:r>
        <w:t xml:space="preserve">;</w:t>
      </w:r>
      <w:r>
        <w:t xml:space="preserve"> </w:t>
      </w:r>
      <w:r>
        <w:rPr>
          <w:i/>
          <w:iCs/>
        </w:rPr>
        <w:t xml:space="preserve">Read Me First</w:t>
      </w:r>
      <w:r>
        <w:t xml:space="preserve">. Early July.</w:t>
      </w:r>
    </w:p>
    <w:p>
      <w:pPr>
        <w:pStyle w:val="Compact"/>
        <w:numPr>
          <w:ilvl w:val="0"/>
          <w:numId w:val="1003"/>
        </w:numPr>
      </w:pPr>
      <w:r>
        <w:rPr>
          <w:b/>
          <w:bCs/>
        </w:rPr>
        <w:t xml:space="preserve">Approved in June, landed since.</w:t>
      </w:r>
      <w:r>
        <w:t xml:space="preserve"> </w:t>
      </w:r>
      <w:r>
        <w:t xml:space="preserve">FL.XLVIII wired into the catalog and the count corrected to forty-eight, with its connective essay</w:t>
      </w:r>
      <w:r>
        <w:t xml:space="preserve"> </w:t>
      </w:r>
      <w:r>
        <w:rPr>
          <w:i/>
          <w:iCs/>
        </w:rPr>
        <w:t xml:space="preserve">The Image-Bearing Word</w:t>
      </w:r>
      <w:r>
        <w:t xml:space="preserve"> </w:t>
      </w:r>
      <w:r>
        <w:t xml:space="preserve">and the Word-Stewardship loop; FL.XLVII’s closing note,</w:t>
      </w:r>
      <w:r>
        <w:t xml:space="preserve"> </w:t>
      </w:r>
      <w:r>
        <w:rPr>
          <w:i/>
          <w:iCs/>
        </w:rPr>
        <w:t xml:space="preserve">Our Words, and His</w:t>
      </w:r>
      <w:r>
        <w:t xml:space="preserve">;</w:t>
      </w:r>
      <w:r>
        <w:t xml:space="preserve"> </w:t>
      </w:r>
      <w:r>
        <w:rPr>
          <w:i/>
          <w:iCs/>
        </w:rPr>
        <w:t xml:space="preserve">Before You Measure</w:t>
      </w:r>
      <w:r>
        <w:t xml:space="preserve"> </w:t>
      </w:r>
      <w:r>
        <w:t xml:space="preserve">with its bench pilot; the credentialing-limit section in the Formation Companion chapter.</w:t>
      </w:r>
    </w:p>
    <w:p>
      <w:pPr>
        <w:pStyle w:val="Compact"/>
        <w:numPr>
          <w:ilvl w:val="0"/>
          <w:numId w:val="1003"/>
        </w:numPr>
      </w:pPr>
      <w:r>
        <w:rPr>
          <w:b/>
          <w:bCs/>
        </w:rPr>
        <w:t xml:space="preserve">Volume 1.</w:t>
      </w:r>
      <w:r>
        <w:t xml:space="preserve"> </w:t>
      </w:r>
      <w:r>
        <w:t xml:space="preserve">The Mustard Seed resolution reported in June propagated into the teaching chapters, with trust recast as the access threshold rather than a magnitude dial. Chesterton’s small-laws aphorism as a sixth property of spiritual law.</w:t>
      </w:r>
    </w:p>
    <w:p>
      <w:pPr>
        <w:pStyle w:val="Compact"/>
        <w:numPr>
          <w:ilvl w:val="0"/>
          <w:numId w:val="1003"/>
        </w:numPr>
      </w:pPr>
      <w:r>
        <w:rPr>
          <w:b/>
          <w:bCs/>
        </w:rPr>
        <w:t xml:space="preserve">Volume 3.</w:t>
      </w:r>
      <w:r>
        <w:t xml:space="preserve"> </w:t>
      </w:r>
      <w:r>
        <w:rPr>
          <w:i/>
          <w:iCs/>
        </w:rPr>
        <w:t xml:space="preserve">Thinking His Thoughts After Him</w:t>
      </w:r>
      <w:r>
        <w:t xml:space="preserve"> </w:t>
      </w:r>
      <w:r>
        <w:t xml:space="preserve">added to the Grammar of Creation. The epilogue operationalizes spiritual distance through the Affective Taxonomy. Two companion chapters:</w:t>
      </w:r>
      <w:r>
        <w:t xml:space="preserve"> </w:t>
      </w:r>
      <w:r>
        <w:rPr>
          <w:i/>
          <w:iCs/>
        </w:rPr>
        <w:t xml:space="preserve">Testing Spiritual Time Against the Revival Record</w:t>
      </w:r>
      <w:r>
        <w:t xml:space="preserve">, with Brownsville as counter-evidence, and</w:t>
      </w:r>
      <w:r>
        <w:t xml:space="preserve"> </w:t>
      </w:r>
      <w:r>
        <w:rPr>
          <w:i/>
          <w:iCs/>
        </w:rPr>
        <w:t xml:space="preserve">Drift and the Source: One Law at Three Scales</w:t>
      </w:r>
      <w:r>
        <w:t xml:space="preserve">. The Spiritual Force chapter’s picture.</w:t>
      </w:r>
    </w:p>
    <w:p>
      <w:pPr>
        <w:pStyle w:val="Compact"/>
        <w:numPr>
          <w:ilvl w:val="0"/>
          <w:numId w:val="1003"/>
        </w:numPr>
      </w:pPr>
      <w:r>
        <w:rPr>
          <w:b/>
          <w:bCs/>
        </w:rPr>
        <w:t xml:space="preserve">Volume 5.</w:t>
      </w:r>
      <w:r>
        <w:t xml:space="preserve"> </w:t>
      </w:r>
      <w:r>
        <w:t xml:space="preserve">A fourth Schwarz entry, the Energy Synchronization Process. The MSF corrigendum note. The companion book’s title and address updated.</w:t>
      </w:r>
    </w:p>
    <w:p>
      <w:pPr>
        <w:pStyle w:val="Compact"/>
        <w:numPr>
          <w:ilvl w:val="0"/>
          <w:numId w:val="1003"/>
        </w:numPr>
      </w:pPr>
      <w:r>
        <w:rPr>
          <w:b/>
          <w:bCs/>
        </w:rPr>
        <w:t xml:space="preserve">The Research Register.</w:t>
      </w:r>
      <w:r>
        <w:t xml:space="preserve"> </w:t>
      </w:r>
      <w:r>
        <w:t xml:space="preserve">Five new or expanded entries: the weep-test reserve entry; the alignment construct and the Household of Faith Profile; the leadership fold; trail 6, trust-stage as the group-level trace of internalization; trail 7, the expressive-writing evidence base behind the journal practices.</w:t>
      </w:r>
    </w:p>
    <w:p>
      <w:pPr>
        <w:pStyle w:val="Compact"/>
        <w:numPr>
          <w:ilvl w:val="0"/>
          <w:numId w:val="1003"/>
        </w:numPr>
      </w:pPr>
      <w:r>
        <w:rPr>
          <w:b/>
          <w:bCs/>
        </w:rPr>
        <w:t xml:space="preserve">Site mechanics, JD.</w:t>
      </w:r>
      <w:r>
        <w:t xml:space="preserve"> </w:t>
      </w:r>
      <w:r>
        <w:t xml:space="preserve">The readability pass, adaptive tables, mobile reflow, dark-mode navigation, the compact Periodic Table mode, scroll restoration, content cleanup.</w:t>
      </w:r>
    </w:p>
    <w:p>
      <w:pPr>
        <w:pStyle w:val="Compact"/>
        <w:numPr>
          <w:ilvl w:val="0"/>
          <w:numId w:val="1003"/>
        </w:numPr>
      </w:pPr>
      <w:r>
        <w:rPr>
          <w:b/>
          <w:bCs/>
        </w:rPr>
        <w:t xml:space="preserve">Working repository only, unpublished.</w:t>
      </w:r>
      <w:r>
        <w:t xml:space="preserve"> </w:t>
      </w:r>
      <w:r>
        <w:t xml:space="preserve">Four research syntheses staged (desolation dynamics, formation across generations, seven-churches diagnostics, spiritual thermodynamics). The Twenty-Two Wednesdays protocol paper’s three-stage peer review. The twelve Foundational-Assumptions peer reviews archived. The Covering Briefing, draft one. The traceability grid. The Tool Map Matrix, fifteen blockages laid against twenty-two tools from Exploration 6 and Volume 5, every cell citing an existing pairing; it exposed the gap ask 6 fills.</w:t>
      </w:r>
    </w:p>
    <w:bookmarkEnd w:id="12"/>
    <w:bookmarkStart w:id="13" w:name="a-correction-made"/>
    <w:p>
      <w:pPr>
        <w:pStyle w:val="Heading2"/>
      </w:pPr>
      <w:r>
        <w:t xml:space="preserve">A correction, made</w:t>
      </w:r>
    </w:p>
    <w:p>
      <w:pPr>
        <w:pStyle w:val="FirstParagraph"/>
      </w:pPr>
      <w:r>
        <w:t xml:space="preserve">The Register’s Fellowship of the Heart row, published 8 August, described a live twenty-two-week cohort meeting Wednesdays from 2 September. Week 1 did not run and no cohort formed. The row now says so, and the trails that depend on a cohort (1, 2, and 6) are re-dated as waiting on one. Corrected on the working repository 5 September; mirrors with Part 3 after today. I am weighing an evening or home-based re-launch and will bring it as an ask when it is a plan.</w:t>
      </w:r>
    </w:p>
    <w:bookmarkEnd w:id="13"/>
    <w:bookmarkStart w:id="14" w:name="waiting-moves-on-evidence-not-argument"/>
    <w:p>
      <w:pPr>
        <w:pStyle w:val="Heading2"/>
      </w:pPr>
      <w:r>
        <w:t xml:space="preserve">Waiting — moves on evidence, not argument</w:t>
      </w:r>
    </w:p>
    <w:p>
      <w:pPr>
        <w:pStyle w:val="Compact"/>
        <w:numPr>
          <w:ilvl w:val="0"/>
          <w:numId w:val="1004"/>
        </w:numPr>
      </w:pPr>
      <w:r>
        <w:rPr>
          <w:b/>
          <w:bCs/>
        </w:rPr>
        <w:t xml:space="preserve">The frontier claims.</w:t>
      </w:r>
      <w:r>
        <w:t xml:space="preserve"> </w:t>
      </w:r>
      <w:r>
        <w:t xml:space="preserve">The force equation, the conservation laws, miracles as threshold events. Unchanged since June, still Speculative, built on by nothing.</w:t>
      </w:r>
    </w:p>
    <w:p>
      <w:pPr>
        <w:pStyle w:val="Compact"/>
        <w:numPr>
          <w:ilvl w:val="0"/>
          <w:numId w:val="1004"/>
        </w:numPr>
      </w:pPr>
      <w:r>
        <w:rPr>
          <w:b/>
          <w:bCs/>
        </w:rPr>
        <w:t xml:space="preserve">The Volume 4 bench.</w:t>
      </w:r>
      <w:r>
        <w:t xml:space="preserve"> </w:t>
      </w:r>
      <w:r>
        <w:t xml:space="preserve">The vignette bench (thirty-six portraits, a frozen key, a rater packet), the Walk-In Reading wing, and the hope-under-load specification with its who-may-read block. All in the working repository only, on the validation ladder. Nothing runs until it climbs.</w:t>
      </w:r>
    </w:p>
    <w:p>
      <w:pPr>
        <w:pStyle w:val="Compact"/>
        <w:numPr>
          <w:ilvl w:val="0"/>
          <w:numId w:val="1004"/>
        </w:numPr>
      </w:pPr>
      <w:r>
        <w:rPr>
          <w:b/>
          <w:bCs/>
        </w:rPr>
        <w:t xml:space="preserve">First data.</w:t>
      </w:r>
      <w:r>
        <w:t xml:space="preserve"> </w:t>
      </w:r>
      <w:r>
        <w:t xml:space="preserve">None. No cohort has formed. Trails 1, 2, and 6 wait on it.</w:t>
      </w:r>
    </w:p>
    <w:p>
      <w:pPr>
        <w:pStyle w:val="Compact"/>
        <w:numPr>
          <w:ilvl w:val="0"/>
          <w:numId w:val="1004"/>
        </w:numPr>
      </w:pPr>
      <w:r>
        <w:rPr>
          <w:b/>
          <w:bCs/>
        </w:rPr>
        <w:t xml:space="preserve">The spiritual-time model.</w:t>
      </w:r>
      <w:r>
        <w:t xml:space="preserve"> </w:t>
      </w:r>
      <w:r>
        <w:t xml:space="preserve">Published as a test against the revival record at the Speculative tier. Waits on more history and on a scripturally grounded physicist.</w:t>
      </w:r>
    </w:p>
    <w:p>
      <w:pPr>
        <w:pStyle w:val="Compact"/>
        <w:numPr>
          <w:ilvl w:val="0"/>
          <w:numId w:val="1004"/>
        </w:numPr>
      </w:pPr>
      <w:r>
        <w:rPr>
          <w:b/>
          <w:bCs/>
        </w:rPr>
        <w:t xml:space="preserve">The spiritual-authority question.</w:t>
      </w:r>
      <w:r>
        <w:t xml:space="preserve"> </w:t>
      </w:r>
      <w:r>
        <w:t xml:space="preserve">Open in Part 2 since April; four candidates are at the head of this note. Not this body’s to decide alone, and it belongs on the agenda ahead of the light rule.</w:t>
      </w:r>
    </w:p>
    <w:p>
      <w:pPr>
        <w:pStyle w:val="FirstParagraph"/>
      </w:pPr>
      <w:r>
        <w:rPr>
          <w:b/>
          <w:bCs/>
        </w:rPr>
        <w:t xml:space="preserve">Suggested order for today:</w:t>
      </w:r>
      <w:r>
        <w:t xml:space="preserve"> </w:t>
      </w:r>
      <w:r>
        <w:t xml:space="preserve">spiritual authority, the four candidates · confirm the June record · the signing · asks 2 and 3 · ask 6 · ask 7 · ask 1 · the correction noted · the waiting list noted · the Council Log entry drafted before we leave.</w:t>
      </w:r>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IJH Council, 6 September 2026 — Changes since 28 June</dc:title>
  <dc:creator>John G. Tittle</dc:creator>
  <cp:keywords/>
  <dcterms:created xsi:type="dcterms:W3CDTF">2026-09-07T14:32:45Z</dcterms:created>
  <dcterms:modified xsi:type="dcterms:W3CDTF">2026-09-07T14:32:45Z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Agenda item, draft 5 September 2026</vt:lpwstr>
  </property>
  <property fmtid="{D5CDD505-2E9C-101B-9397-08002B2CF9AE}" pid="3" name="subtitle">
    <vt:lpwstr>Told · Asking · Waiting</vt:lpwstr>
  </property>
</Properties>
</file>