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36"/>
          <w:szCs w:val="36"/>
        </w:rPr>
        <w:t xml:space="preserve">Intentional Journey of the Heart</w:t>
      </w:r>
    </w:p>
    <w:p>
      <w:pPr>
        <w:spacing w:after="240"/>
        <w:jc w:val="center"/>
      </w:pPr>
      <w:r>
        <w:rPr>
          <w:rFonts w:ascii="Arial" w:cs="Arial" w:eastAsia="Arial" w:hAnsi="Arial"/>
          <w:b/>
          <w:bCs/>
          <w:sz w:val="32"/>
          <w:szCs w:val="32"/>
        </w:rPr>
        <w:t xml:space="preserve">Catalog Revision v5_6_0_9 — Implementation Bundle</w:t>
      </w:r>
    </w:p>
    <w:p>
      <w:pPr>
        <w:spacing w:after="720"/>
        <w:jc w:val="center"/>
      </w:pPr>
      <w:r>
        <w:rPr>
          <w:rFonts w:ascii="Arial" w:cs="Arial" w:eastAsia="Arial" w:hAnsi="Arial"/>
          <w:i/>
          <w:iCs/>
          <w:sz w:val="24"/>
          <w:szCs w:val="24"/>
        </w:rPr>
        <w:t xml:space="preserve">FL.XXVII Thick Practice Transmission Law and the Second Period 4 Open Unknown Closure</w:t>
      </w:r>
    </w:p>
    <w:p>
      <w:pPr>
        <w:spacing w:after="80"/>
        <w:jc w:val="center"/>
      </w:pPr>
      <w:r>
        <w:rPr>
          <w:rFonts w:ascii="Arial" w:cs="Arial" w:eastAsia="Arial" w:hAnsi="Arial"/>
          <w:sz w:val="22"/>
          <w:szCs w:val="22"/>
        </w:rPr>
        <w:t xml:space="preserve">FL.XXVII — Thick Practice Transmission Law (P4/GV)</w:t>
      </w:r>
    </w:p>
    <w:p>
      <w:pPr>
        <w:spacing w:after="80"/>
        <w:jc w:val="center"/>
      </w:pPr>
      <w:r>
        <w:rPr>
          <w:rFonts w:ascii="Arial" w:cs="Arial" w:eastAsia="Arial" w:hAnsi="Arial"/>
          <w:sz w:val="22"/>
          <w:szCs w:val="22"/>
        </w:rPr>
        <w:t xml:space="preserve">Vol 1 Overview revised to v5_6_0_23 (Twenty-Seven Laws)</w:t>
      </w:r>
    </w:p>
    <w:p>
      <w:pPr>
        <w:spacing w:after="480"/>
        <w:jc w:val="center"/>
      </w:pPr>
      <w:r>
        <w:rPr>
          <w:rFonts w:ascii="Arial" w:cs="Arial" w:eastAsia="Arial" w:hAnsi="Arial"/>
          <w:sz w:val="22"/>
          <w:szCs w:val="22"/>
        </w:rPr>
        <w:t xml:space="preserve">Vol 5 PT chapter targeted edits to v5_6_0_9</w:t>
      </w:r>
    </w:p>
    <w:p>
      <w:pPr>
        <w:spacing w:after="120"/>
        <w:jc w:val="center"/>
      </w:pPr>
      <w:r>
        <w:rPr>
          <w:rFonts w:ascii="Arial" w:cs="Arial" w:eastAsia="Arial" w:hAnsi="Arial"/>
          <w:sz w:val="22"/>
          <w:szCs w:val="22"/>
        </w:rPr>
        <w:t xml:space="preserve">Prepared for John G. Tittle</w:t>
      </w:r>
    </w:p>
    <w:p>
      <w:pPr>
        <w:spacing w:after="720"/>
        <w:jc w:val="center"/>
      </w:pPr>
      <w:r>
        <w:rPr>
          <w:rFonts w:ascii="Arial" w:cs="Arial" w:eastAsia="Arial" w:hAnsi="Arial"/>
          <w:sz w:val="22"/>
          <w:szCs w:val="22"/>
        </w:rPr>
        <w:t xml:space="preserve">May 21, 2026</w:t>
      </w:r>
    </w:p>
    <w:p>
      <w:r>
        <w:br w:type="page"/>
      </w:r>
    </w:p>
    <w:p>
      <w:pPr>
        <w:pStyle w:val="Heading1"/>
        <w:spacing w:after="240" w:before="360"/>
      </w:pPr>
      <w:r>
        <w:rPr>
          <w:rFonts w:ascii="Arial" w:cs="Arial" w:eastAsia="Arial" w:hAnsi="Arial"/>
          <w:b/>
          <w:bCs/>
          <w:sz w:val="36"/>
          <w:szCs w:val="36"/>
        </w:rPr>
        <w:t xml:space="preserve">Implementation Overview</w:t>
      </w:r>
    </w:p>
    <w:p>
      <w:pPr>
        <w:spacing w:after="160" w:line="300"/>
      </w:pPr>
      <w:r>
        <w:rPr>
          <w:rFonts w:ascii="Arial" w:cs="Arial" w:eastAsia="Arial" w:hAnsi="Arial"/>
          <w:b w:val="false"/>
          <w:bCs w:val="false"/>
          <w:i w:val="false"/>
          <w:iCs w:val="false"/>
          <w:sz w:val="22"/>
          <w:szCs w:val="22"/>
        </w:rPr>
        <w:t xml:space="preserve">This document is the implementation bundle for catalog revision v5_6_0_9. The revision is a focused, smaller revision than v5_6_0_8 — it adds one new Foundational Law (FL.XXVII Thick Practice Transmission Law at P4/GV) and applies targeted updates to the Vol 1 overview chapter and the Vol 5 Periodic Table chapter. The v5_6_0_9 revision closes the second of the three Period 4 Open Unknowns named at v5_6_0_5; one Open Unknown remains for closure at v5_6_0_10 (Generational Nested Structure Law at P4/GVI).</w:t>
      </w:r>
    </w:p>
    <w:p>
      <w:pPr>
        <w:spacing w:after="160" w:line="300"/>
      </w:pPr>
      <w:r>
        <w:rPr>
          <w:rFonts w:ascii="Arial" w:cs="Arial" w:eastAsia="Arial" w:hAnsi="Arial"/>
          <w:b w:val="false"/>
          <w:bCs w:val="false"/>
          <w:i w:val="false"/>
          <w:iCs w:val="false"/>
          <w:sz w:val="22"/>
          <w:szCs w:val="22"/>
        </w:rPr>
        <w:t xml:space="preserve">The FL.XXVII Thick Practice Transmission Law's addition completes the catalog's identification of the embedded-practice transmission dimension as a structurally separate operational mode at the generational scale. The law operates by a distinct mechanism from the catalog's other generational-scale transmission laws — the practice's structural form as the vehicle of the substance, with the participant's repeated participation across the formative years as the operational means of the substance's reception. The chapter articulates the law's structural relationships with FL.XVII Substitution-Cascade Law (implicit-learning channel), FL.XIX Spirit Anointing Transmission Law (deliberate impartation and proximity-based formation), FL.XXI Household Formation Law (deliberate teaching), and FL.XXVI Doctrinal Calcification Law (cognitive-and-volitional-tradition dimension); the five Period 4 entries together cover five distinct transmission mechanisms operating at the generational scale.</w:t>
      </w:r>
    </w:p>
    <w:p>
      <w:pPr>
        <w:spacing w:after="160" w:line="300"/>
      </w:pPr>
      <w:r>
        <w:rPr>
          <w:rFonts w:ascii="Arial" w:cs="Arial" w:eastAsia="Arial" w:hAnsi="Arial"/>
          <w:b w:val="false"/>
          <w:bCs w:val="false"/>
          <w:i w:val="false"/>
          <w:iCs w:val="false"/>
          <w:sz w:val="22"/>
          <w:szCs w:val="22"/>
        </w:rPr>
        <w:t xml:space="preserve">The Mirror form decision (Q1 in the v5_6_0_8 deliverable, ratified by your approval) is Mirror statement form, parallel to FL.XXIV Confession-in-Community Law. The God-ward face (practices transmitting faith-substance) is the law's primary subject; the form-without-power dynamic at 2 Tim. 3:5 is the idol-ward face the Mirror names, with the Pharisaic practice-forms in Mark 7 and Matt. 23 as the canonical NT cases.</w:t>
      </w:r>
    </w:p>
    <w:p>
      <w:pPr>
        <w:spacing w:after="160" w:line="300"/>
      </w:pPr>
      <w:r>
        <w:rPr>
          <w:rFonts w:ascii="Arial" w:cs="Arial" w:eastAsia="Arial" w:hAnsi="Arial"/>
          <w:b w:val="false"/>
          <w:bCs w:val="false"/>
          <w:i w:val="false"/>
          <w:iCs w:val="false"/>
          <w:sz w:val="22"/>
          <w:szCs w:val="22"/>
        </w:rPr>
        <w:t xml:space="preserve">The Vol 1 overview chapter is updated to v5_6_0_23 with the title moving from "Twenty-Six" to "Twenty-Seven Operational Laws of Wide Consent" and the summary table extended to 27 rows. The Vol 5 Periodic Table chapter receives seven targeted edits including the new entry at P4/GV, the headline counts update, the Six Group Families section's brief update at Group V, the Six Priority Open Unknowns section's count update (down to one), and the closing note update naming the v5_6_0_10 anticipated direction.</w:t>
      </w:r>
    </w:p>
    <w:p>
      <w:pPr>
        <w:spacing w:after="160" w:line="300"/>
      </w:pPr>
      <w:r>
        <w:rPr>
          <w:rFonts w:ascii="Arial" w:cs="Arial" w:eastAsia="Arial" w:hAnsi="Arial"/>
          <w:b w:val="false"/>
          <w:bCs w:val="false"/>
          <w:i w:val="false"/>
          <w:iCs w:val="false"/>
          <w:sz w:val="22"/>
          <w:szCs w:val="22"/>
        </w:rPr>
        <w:t xml:space="preserve">The catalog at v5_6_0_9 holds 43 analyzed entries (up from 42 at v5_6_0_8), 27 Foundational Laws (up from 26), 9 Speculative ◆ entries (unchanged), 1 remaining Open Unknown at Period 4 (down from 2 — Generational Nested Structure at P4/GVI), 1 anomaly (unchanged), and 6 Vol 3 forward-references (unchanged). The architecture established at v5_6_0_5 remains stable under the present revision.</w:t>
      </w:r>
    </w:p>
    <w:p>
      <w:pPr>
        <w:spacing w:after="160" w:line="300"/>
      </w:pPr>
      <w:r>
        <w:rPr>
          <w:rFonts w:ascii="Arial" w:cs="Arial" w:eastAsia="Arial" w:hAnsi="Arial"/>
          <w:b w:val="false"/>
          <w:bCs w:val="false"/>
          <w:i w:val="false"/>
          <w:iCs w:val="false"/>
          <w:sz w:val="22"/>
          <w:szCs w:val="22"/>
        </w:rPr>
        <w:t xml:space="preserve">The document is organized in five sections. Section A presents the FL.XXVII chapter in full. Section B presents the updated Vol 1 overview at v5_6_0_23. Section C presents the seven targeted edits to the Vol 5 PT chapter at v5_6_0_9. Section D provides the v5_6_0_10 preview — the anticipated scope of the next revision. Section E is the residual key questions to address at v5_6_0_10.</w:t>
      </w:r>
    </w:p>
    <w:p>
      <w:r>
        <w:br w:type="page"/>
      </w:r>
    </w:p>
    <w:p>
      <w:pPr>
        <w:spacing w:after="240" w:before="1440"/>
        <w:jc w:val="center"/>
      </w:pPr>
      <w:r>
        <w:rPr>
          <w:rFonts w:ascii="Arial" w:cs="Arial" w:eastAsia="Arial" w:hAnsi="Arial"/>
          <w:b/>
          <w:bCs/>
          <w:sz w:val="40"/>
          <w:szCs w:val="40"/>
        </w:rPr>
        <w:t xml:space="preserve">Section A</w:t>
      </w:r>
    </w:p>
    <w:p>
      <w:pPr>
        <w:spacing w:after="720"/>
        <w:jc w:val="center"/>
      </w:pPr>
      <w:r>
        <w:rPr>
          <w:rFonts w:ascii="Arial" w:cs="Arial" w:eastAsia="Arial" w:hAnsi="Arial"/>
          <w:i/>
          <w:iCs/>
          <w:sz w:val="26"/>
          <w:szCs w:val="26"/>
        </w:rPr>
        <w:t xml:space="preserve">FL.XXVII Thick Practice Transmission Law Chapter</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Foundational Law XXVII: The Thick Practice Transmission Law</w:t>
      </w:r>
    </w:p>
    <w:p>
      <w:pPr>
        <w:spacing w:after="160" w:line="300"/>
      </w:pPr>
      <w:r>
        <w:rPr>
          <w:rFonts w:ascii="Arial" w:cs="Arial" w:eastAsia="Arial" w:hAnsi="Arial"/>
          <w:b w:val="false"/>
          <w:bCs w:val="false"/>
          <w:i w:val="false"/>
          <w:iCs w:val="false"/>
          <w:sz w:val="22"/>
          <w:szCs w:val="22"/>
        </w:rPr>
        <w:t xml:space="preserve">The twenty-seventh foundational law closes the second of the three remaining Period 4 Open Unknowns the v5_6_0_5 chapter named and brings the Period 4 row to within one entry of structural completion. Embedded practices conducted in regular rhythm across generations — sabbath observance, passover and the seder, baptism and its annual rememberings, the eucharist and the Lord's table, sustained corporate prayer, sustained corporate Scripture reading, the catechetical cycles, the seasonal liturgical observances — operate as transmission vehicles for the substance of the faith that deliberate teaching alone cannot convey; the practices encode the substance in embodied form, and the substance is received across generations through the participant's repeated participation in the practice's structure across the formative years. The law is added at the present revision because the v5_6_0_8 admission of FL.XXVI Doctrinal Calcification Law and FL.XXI Household Formation Law together established the structural context the present law operates within — between the deliberate-teaching dimension (FL.XXI) and the cognitive-and-volitional-tradition dimension (FL.XXVI), there is the embedded-practice dimension that operates by a distinct mechanism the previous two laws do not name.</w:t>
      </w:r>
    </w:p>
    <w:p>
      <w:pPr>
        <w:spacing w:after="160" w:line="300"/>
      </w:pPr>
      <w:r>
        <w:rPr>
          <w:rFonts w:ascii="Arial" w:cs="Arial" w:eastAsia="Arial" w:hAnsi="Arial"/>
          <w:b w:val="false"/>
          <w:bCs w:val="false"/>
          <w:i w:val="false"/>
          <w:iCs w:val="false"/>
          <w:sz w:val="22"/>
          <w:szCs w:val="22"/>
        </w:rPr>
        <w:t xml:space="preserve">The law's distinctive structural feature among the catalog's generational-scale transmission laws is its operational mechanism — the practice's structural form as the vehicle of the substance. FL.XXI Household Formation Law operates by deliberate teaching; the parent or guardian articulates the substance verbally, and the child receives the articulation through the relational structure of the teaching relationship. FL.XVII Substitution-Cascade Law operates by implicit-learning channel; the heart's orientation toward the parent's or guardian's enthroned object transmits through the implicit-learning structure of the household's formative environment. FL.XIX Spirit Anointing Transmission Law operates by deliberate impartation and proximity-based formation; the Spirit's anointing is consciously transferred through the laying-on-of-hands and the sustained proximity to the anointed life. FL.XXVI Doctrinal Calcification Law operates at the cognitive-and-volitional-tradition dimension; doctrines and tradition-frames transmit across generations through the community's interpretive apparatus. The present law operates by a fifth, distinct mechanism: the practice itself, conducted in its proper form across the participants' lifecycles, transmits the substance the practice encodes. The mechanism is neither the deliberate teaching, nor the implicit-learning channel, nor the conscious impartation, nor the cognitive tradition-frame; it is the practice's structural form holding the substance in embodied articulation, with the substance received through the participant's repeated participation in the practice across the formative years.</w:t>
      </w:r>
    </w:p>
    <w:p>
      <w:pPr>
        <w:pStyle w:val="Heading2"/>
        <w:spacing w:after="160" w:before="240"/>
      </w:pPr>
      <w:r>
        <w:rPr>
          <w:rFonts w:ascii="Arial" w:cs="Arial" w:eastAsia="Arial" w:hAnsi="Arial"/>
          <w:b/>
          <w:bCs/>
          <w:sz w:val="30"/>
          <w:szCs w:val="30"/>
        </w:rPr>
        <w:t xml:space="preserve">Scriptural Ground</w:t>
      </w:r>
    </w:p>
    <w:p>
      <w:pPr>
        <w:spacing w:after="160" w:line="300"/>
      </w:pPr>
      <w:r>
        <w:rPr>
          <w:rFonts w:ascii="Arial" w:cs="Arial" w:eastAsia="Arial" w:hAnsi="Arial"/>
          <w:b w:val="false"/>
          <w:bCs w:val="false"/>
          <w:i w:val="false"/>
          <w:iCs w:val="false"/>
          <w:sz w:val="22"/>
          <w:szCs w:val="22"/>
        </w:rPr>
        <w:t xml:space="preserve">The scriptural witness for the law operates across at least five biblical authors and both Testaments, with the cross-Testament resonance unusually strong. Moses establishes the canonical pattern at Deut. 6:4–9, the Shema with its practice-embedded instruction: "Hear, O Israel: The Lord our God, the Lord is one. You shall love the Lord your God with all your heart and with all your soul and with all your might. And these words that I command you today shall be on your heart. You shall teach them diligently to your children, and shall talk of them when you sit in your house, and when you walk by the way, and when you lie down, and when you rise. You shall bind them as a sign on your hand, and they shall be as frontlets between your eyes. You shall write them on the doorposts of your house and on your gates." The Mosaic instruction holds the two transmission modes side by side: the diligent teaching (the deliberate-teaching dimension that FL.XXI Household Formation Law names) and the embedded practices (the sitting in the house with the words present, the walking-by-the-way with the words present, the lying-down and rising with the words present, the binding as a sign on the hand, the frontlets between the eyes, the doorposts, the gates). The two modes operate together in the Mosaic vision; the present law identifies the second as a distinct operational mechanism with its own structural form.</w:t>
      </w:r>
    </w:p>
    <w:p>
      <w:pPr>
        <w:spacing w:after="160" w:line="300"/>
      </w:pPr>
      <w:r>
        <w:rPr>
          <w:rFonts w:ascii="Arial" w:cs="Arial" w:eastAsia="Arial" w:hAnsi="Arial"/>
          <w:b w:val="false"/>
          <w:bCs w:val="false"/>
          <w:i w:val="false"/>
          <w:iCs w:val="false"/>
          <w:sz w:val="22"/>
          <w:szCs w:val="22"/>
        </w:rPr>
        <w:t xml:space="preserve">Moses establishes the canonical instituted-practice pattern at Exod. 12, the institution of the Passover: "And when your children say to you, 'What do you mean by this service?' you shall say, 'It is the sacrifice of the Lord's Passover, for he passed over the houses of the people of Israel in Egypt, when he struck the Egyptians but spared our houses.'" The Passover institution holds the law's mechanism with operational precision. The practice (the Passover meal, the unleavened bread, the recitation of the deliverance narrative) is established with explicit transmission instruction — the practice is to be conducted in regular rhythm across generations, and the practice's structural form is itself the occasion for the inter-generational transmission of the substance. The substance (the deliverance from Egypt, the Lord's passing-over, the covenant relationship the deliverance established) is transmitted through the participant's repeated participation in the practice across the formative years, with the practice's structural form holding the substance in embodied articulation and the child's question functioning as the practice's structural pivot from observance to articulation.</w:t>
      </w:r>
    </w:p>
    <w:p>
      <w:pPr>
        <w:spacing w:after="160" w:line="300"/>
      </w:pPr>
      <w:r>
        <w:rPr>
          <w:rFonts w:ascii="Arial" w:cs="Arial" w:eastAsia="Arial" w:hAnsi="Arial"/>
          <w:b w:val="false"/>
          <w:bCs w:val="false"/>
          <w:i w:val="false"/>
          <w:iCs w:val="false"/>
          <w:sz w:val="22"/>
          <w:szCs w:val="22"/>
        </w:rPr>
        <w:t xml:space="preserve">The Joshua writer holds the parallel canonical case at Josh. 4 with the memorial stones taken from the Jordan: "When your children ask their fathers in times to come, 'What do these stones mean?' then you shall let your children know, 'Israel passed over this Jordan on dry ground.' For the Lord your God dried up the waters of the Jordan for you until you passed over, as the Lord your God did to the Red Sea." The Joshua articulation parallels the Mosaic Passover pattern — the memorial-stone practice is established with explicit transmission instruction, with the child's question (parallel to the Passover question) as the practice's structural pivot. The Joshua case is operationally important because it establishes the pattern outside the cultic-sacrificial register; the memorial-stone practice is not a sacrificial rite, and the law's operation across non-cultic embedded practices is established by the Joshua canonical case.</w:t>
      </w:r>
    </w:p>
    <w:p>
      <w:pPr>
        <w:spacing w:after="160" w:line="300"/>
      </w:pPr>
      <w:r>
        <w:rPr>
          <w:rFonts w:ascii="Arial" w:cs="Arial" w:eastAsia="Arial" w:hAnsi="Arial"/>
          <w:b w:val="false"/>
          <w:bCs w:val="false"/>
          <w:i w:val="false"/>
          <w:iCs w:val="false"/>
          <w:sz w:val="22"/>
          <w:szCs w:val="22"/>
        </w:rPr>
        <w:t xml:space="preserve">Paul holds the canonical New Testament articulation of the eucharistic instituted practice at 1 Cor. 11:23–26: "For I received from the Lord what I also delivered to you, that the Lord Jesus on the night when he was betrayed took bread, and when he had given thanks, he broke it, and said, 'This is my body, which is for you. Do this in remembrance of me.' In the same way also he took the cup, after supper, saying, 'This cup is the new covenant in my blood. Do this, as often as you drink it, in remembrance of me.' For as often as you eat this bread and drink the cup, you proclaim the Lord's death until he comes." The Pauline statement holds the law's mechanism for the New Testament instituted practice par excellence — the practice (the breaking of bread, the cup) is established with explicit transmission instruction ("Do this … as often as you drink it"), and the practice's structural form (the embodied participation in the bread and cup) holds the substance in embodied articulation (the Lord's body, the Lord's blood, the new covenant, the proclamation of his death until he comes). The "as often as you do this" language is operationally important — the practice's regular-rhythm performance is the law's mechanism, not its occasional or commemorative observance. The eucharistic practice is the canonical case of the law operating in the New Testament instituted practice.</w:t>
      </w:r>
    </w:p>
    <w:p>
      <w:pPr>
        <w:spacing w:after="160" w:line="300"/>
      </w:pPr>
      <w:r>
        <w:rPr>
          <w:rFonts w:ascii="Arial" w:cs="Arial" w:eastAsia="Arial" w:hAnsi="Arial"/>
          <w:b w:val="false"/>
          <w:bCs w:val="false"/>
          <w:i w:val="false"/>
          <w:iCs w:val="false"/>
          <w:sz w:val="22"/>
          <w:szCs w:val="22"/>
        </w:rPr>
        <w:t xml:space="preserve">Luke holds the canonical case of the early church's life under the law's mechanism at Acts 2:42–47: "And they devoted themselves to the apostles' teaching and the fellowship, to the breaking of bread and the prayers." The Lukan articulation names the four embedded practices the early church operated within — the apostles' teaching (deliberate-teaching dimension), the fellowship (relational presence), the breaking of bread (the eucharistic practice), and the prayers (sustained corporate prayer). The Lukan articulation is operationally important because it names the embedded practices as the structural fabric of the early church's formation; the practices are not religious obligations laid alongside the formation, they are the formation's structural form, with the substance received through the participants' devotion to the practices in regular rhythm.</w:t>
      </w:r>
    </w:p>
    <w:p>
      <w:pPr>
        <w:spacing w:after="160" w:line="300"/>
      </w:pPr>
      <w:r>
        <w:rPr>
          <w:rFonts w:ascii="Arial" w:cs="Arial" w:eastAsia="Arial" w:hAnsi="Arial"/>
          <w:b w:val="false"/>
          <w:bCs w:val="false"/>
          <w:i w:val="false"/>
          <w:iCs w:val="false"/>
          <w:sz w:val="22"/>
          <w:szCs w:val="22"/>
        </w:rPr>
        <w:t xml:space="preserve">A fifth witness operates at 2 Tim. 3:14–17 in the canonical articulation of Timothy's formation: "But as for you, continue in what you have learned and have firmly believed, knowing from whom you learned it and how from childhood you have been acquainted with the sacred writings, which are able to make you wise for salvation through faith in Christ Jesus." The Pauline articulation names the law's mechanism operating in Timothy's particular formation — Timothy has been acquainted with the sacred writings </w:t>
      </w:r>
      <w:r>
        <w:rPr>
          <w:rFonts w:ascii="Arial" w:cs="Arial" w:eastAsia="Arial" w:hAnsi="Arial"/>
          <w:b w:val="false"/>
          <w:bCs w:val="false"/>
          <w:i/>
          <w:iCs/>
          <w:sz w:val="22"/>
          <w:szCs w:val="22"/>
        </w:rPr>
        <w:t xml:space="preserve">from childhood</w:t>
      </w:r>
      <w:r>
        <w:rPr>
          <w:rFonts w:ascii="Arial" w:cs="Arial" w:eastAsia="Arial" w:hAnsi="Arial"/>
          <w:b w:val="false"/>
          <w:bCs w:val="false"/>
          <w:i w:val="false"/>
          <w:iCs w:val="false"/>
          <w:sz w:val="22"/>
          <w:szCs w:val="22"/>
        </w:rPr>
        <w:t xml:space="preserve">, and the acquaintance has operated through the household's embedded practices (the practices of his grandmother Lois and his mother Eunice, named at 2 Tim. 1:5). The "knowing from whom you learned it" language names the practice-and-relationship texture of the transmission; the formation operated through the embedded practices of the household across Timothy's formative years, with the substance (the sacred writings, the wisdom for salvation) transmitted through the practice's structural form held in the relational presence of the practitioners.</w:t>
      </w:r>
    </w:p>
    <w:p>
      <w:pPr>
        <w:spacing w:after="160" w:line="300"/>
      </w:pPr>
      <w:r>
        <w:rPr>
          <w:rFonts w:ascii="Arial" w:cs="Arial" w:eastAsia="Arial" w:hAnsi="Arial"/>
          <w:b w:val="false"/>
          <w:bCs w:val="false"/>
          <w:i w:val="false"/>
          <w:iCs w:val="false"/>
          <w:sz w:val="22"/>
          <w:szCs w:val="22"/>
        </w:rPr>
        <w:t xml:space="preserve">A sixth witness, the Psalmist of Ps. 78, holds the canonical articulation of the principle's general operation: "Things that we have heard and known, that our fathers have told us. We will not hide them from their children, but tell to the coming generation the glorious deeds of the Lord, and his might, and the wonders that he has done. He established a testimony in Jacob and appointed a law in Israel, which he commanded our fathers to teach to their children, that the next generation might know them, the children yet unborn, and arise and tell them to their children, so that they should set their hope in God and not forget the works of God, but keep his commandments." The Psalm's articulation is general; it names the law's principle without naming a specific embedded practice. The general articulation establishes the principle's operational scope — the inter-generational transmission of the substance of the faith through the practices of telling, of remembering, of setting before the next generation the works of God.</w:t>
      </w:r>
    </w:p>
    <w:p>
      <w:pPr>
        <w:spacing w:after="160" w:line="300"/>
      </w:pPr>
      <w:r>
        <w:rPr>
          <w:rFonts w:ascii="Arial" w:cs="Arial" w:eastAsia="Arial" w:hAnsi="Arial"/>
          <w:b w:val="false"/>
          <w:bCs w:val="false"/>
          <w:i w:val="false"/>
          <w:iCs w:val="false"/>
          <w:sz w:val="22"/>
          <w:szCs w:val="22"/>
        </w:rPr>
        <w:t xml:space="preserve">The OT witness extends through the broader observances — the feasts of the Lord at Lev. 23, the cycle of sabbaths and Jubilees at Lev. 25, the cycle of sacrifices throughout Exodus-Leviticus-Numbers, the cycle of three annual pilgrimages at Deut. 16 — each of which operates as an embedded practice in the law's mechanism. The NT witness extends through the institution of baptism (Matt. 28:19–20 with its "teaching them to observe all that I have commanded you" naming both the deliberate-teaching dimension and the observance dimension), the patterns of corporate prayer (Acts 1:14; Acts 4:23–31; Acts 12:5; 1 Tim. 2:1–4), the Scripture-reading patterns (1 Tim. 4:13's "devote yourself to the public reading of Scripture"), and the broader apostolic-tradition practices (1 Cor. 11:2's "maintain the traditions even as I delivered them to you"; 2 Thess. 2:15's "stand firm and hold to the traditions that you were taught"). The cumulative witness establishes the law's operational scope across both Testaments and the broad range of practice-types the principle operates across.</w:t>
      </w:r>
    </w:p>
    <w:p>
      <w:pPr>
        <w:pStyle w:val="Heading2"/>
        <w:spacing w:after="160" w:before="240"/>
      </w:pPr>
      <w:r>
        <w:rPr>
          <w:rFonts w:ascii="Arial" w:cs="Arial" w:eastAsia="Arial" w:hAnsi="Arial"/>
          <w:b/>
          <w:bCs/>
          <w:sz w:val="30"/>
          <w:szCs w:val="30"/>
        </w:rPr>
        <w:t xml:space="preserve">Mechanism</w:t>
      </w:r>
    </w:p>
    <w:p>
      <w:pPr>
        <w:spacing w:after="160" w:line="300"/>
      </w:pPr>
      <w:r>
        <w:rPr>
          <w:rFonts w:ascii="Arial" w:cs="Arial" w:eastAsia="Arial" w:hAnsi="Arial"/>
          <w:b w:val="false"/>
          <w:bCs w:val="false"/>
          <w:i w:val="false"/>
          <w:iCs w:val="false"/>
          <w:sz w:val="22"/>
          <w:szCs w:val="22"/>
        </w:rPr>
        <w:t xml:space="preserve">The law's mechanism operates by the practice's structural form as the vehicle of the substance, with the participant's repeated participation in the practice across the formative years as the operational means of the substance's reception. The mechanism's working parts are the practice's structural form, the participant's repeated participation, the rhythm of the practice's recurrence across the participant's lifecycle, the practice's substance-encoding feature, and the practice's resistance to substance-displacement.</w:t>
      </w:r>
    </w:p>
    <w:p>
      <w:pPr>
        <w:spacing w:after="160" w:line="300"/>
      </w:pPr>
      <w:r>
        <w:rPr>
          <w:rFonts w:ascii="Arial" w:cs="Arial" w:eastAsia="Arial" w:hAnsi="Arial"/>
          <w:b w:val="false"/>
          <w:bCs w:val="false"/>
          <w:i w:val="false"/>
          <w:iCs w:val="false"/>
          <w:sz w:val="22"/>
          <w:szCs w:val="22"/>
        </w:rPr>
        <w:t xml:space="preserve">The practice's structural form holds the substance in embodied articulation. The Passover seder holds the deliverance narrative; the eucharistic practice holds the covenant's renewal-in-Christ; the baptismal practice holds the death-burial-and-resurrection-with-Christ; the sabbath observance holds the trust-in-provision; the corporate prayer holds the corporate orientation toward God; the corporate Scripture reading holds the Word as the community's primary frame. The substance is not the practice's accompaniment; the substance is what the practice's structural form is. The bread broken in the Lord's body's pattern is what the eucharist is; the unleavened bread eaten in haste is what the Passover seder is; the water of baptism with the participant's submergence and emergence is what baptism is. The practice's structural form is the substance's embodied articulation, and the embodied articulation is what makes the practice the operational vehicle the law names.</w:t>
      </w:r>
    </w:p>
    <w:p>
      <w:pPr>
        <w:spacing w:after="160" w:line="300"/>
      </w:pPr>
      <w:r>
        <w:rPr>
          <w:rFonts w:ascii="Arial" w:cs="Arial" w:eastAsia="Arial" w:hAnsi="Arial"/>
          <w:b w:val="false"/>
          <w:bCs w:val="false"/>
          <w:i w:val="false"/>
          <w:iCs w:val="false"/>
          <w:sz w:val="22"/>
          <w:szCs w:val="22"/>
        </w:rPr>
        <w:t xml:space="preserve">The participant's repeated participation across the formative years is the operational means of the substance's reception. The substance is not received in a single performance of the practice; the substance is received through the practice's repetition across the participant's lifecycle, with each repetition operating as a discrete formation event in which the substance is freshly received. The child who participates in the Passover seder year after year across childhood, adolescence, and adulthood does not receive the deliverance narrative in any single performance; the narrative is received through the repeated participation, with the substance becoming progressively more deeply integrated into the participant's operational frame across the years. The eucharistic practice's weekly or daily or annual performance, depending on tradition, is the operational form of the substance's reception across the participant's lifecycle. The mechanism requires the rhythm; the single performance is not the law's operation, but the repeated participation in the practice across the formative years.</w:t>
      </w:r>
    </w:p>
    <w:p>
      <w:pPr>
        <w:spacing w:after="160" w:line="300"/>
      </w:pPr>
      <w:r>
        <w:rPr>
          <w:rFonts w:ascii="Arial" w:cs="Arial" w:eastAsia="Arial" w:hAnsi="Arial"/>
          <w:b w:val="false"/>
          <w:bCs w:val="false"/>
          <w:i w:val="false"/>
          <w:iCs w:val="false"/>
          <w:sz w:val="22"/>
          <w:szCs w:val="22"/>
        </w:rPr>
        <w:t xml:space="preserve">The substance-encoding feature of the practice is the second mechanism-feature deserving articulation. The practice does not merely accompany the substance; the practice's structural form </w:t>
      </w:r>
      <w:r>
        <w:rPr>
          <w:rFonts w:ascii="Arial" w:cs="Arial" w:eastAsia="Arial" w:hAnsi="Arial"/>
          <w:b w:val="false"/>
          <w:bCs w:val="false"/>
          <w:i/>
          <w:iCs/>
          <w:sz w:val="22"/>
          <w:szCs w:val="22"/>
        </w:rPr>
        <w:t xml:space="preserve">encodes</w:t>
      </w:r>
      <w:r>
        <w:rPr>
          <w:rFonts w:ascii="Arial" w:cs="Arial" w:eastAsia="Arial" w:hAnsi="Arial"/>
          <w:b w:val="false"/>
          <w:bCs w:val="false"/>
          <w:i w:val="false"/>
          <w:iCs w:val="false"/>
          <w:sz w:val="22"/>
          <w:szCs w:val="22"/>
        </w:rPr>
        <w:t xml:space="preserve"> the substance in embodied articulation. The participant who participates in the practice receives the substance through the participation, even where the participant cannot articulate the substance in propositional form. The child who participates in the Passover seder may not be able to articulate the covenant theology the practice encodes, but the child receives the substance through the participation — the substance enters the participant's operational frame through the practice's form even before the participant can articulate the substance verbally. The substance-encoding feature is what makes the law distinct from FL.XXI Household Formation Law's deliberate-teaching mechanism; the deliberate teaching operates through articulation, and the present law operates through embodied encoding that may precede articulation by decades.</w:t>
      </w:r>
    </w:p>
    <w:p>
      <w:pPr>
        <w:spacing w:after="160" w:line="300"/>
      </w:pPr>
      <w:r>
        <w:rPr>
          <w:rFonts w:ascii="Arial" w:cs="Arial" w:eastAsia="Arial" w:hAnsi="Arial"/>
          <w:b w:val="false"/>
          <w:bCs w:val="false"/>
          <w:i w:val="false"/>
          <w:iCs w:val="false"/>
          <w:sz w:val="22"/>
          <w:szCs w:val="22"/>
        </w:rPr>
        <w:t xml:space="preserve">The practice's resistance to substance-displacement is the third mechanism-feature. The practice's structural form, when conducted in regular rhythm across generations, resists the substance-displacement that other transmission mechanisms are vulnerable to. FL.XVII Substitution-Cascade Law's implicit-learning channel can be displaced by counter-orientations in the household's primary actors; FL.XXVI Doctrinal Calcification Law's cognitive-and-volitional-tradition can be displaced by the calcification dynamic. The embedded practice, by contrast, has a structural resistance to displacement that the other mechanisms do not — the practice's form persists across generations even where the substance has been hollowed out, and the form's persistence holds the structural shape within which the substance can be re-recovered. The form-without-power dynamic that 2 Tim. 3:5 names is the operational expression of the practice's persistence under hollowing; the form persists, the power departs, and the recovery of the substance becomes possible through the recovery of the practice's encoded content rather than through the establishment of new transmission mechanisms. The practice's resistance to displacement is operationally important because it is what makes the practice's continuation across generations operationally available even where the participants are not currently operating at the substance's full reception.</w:t>
      </w:r>
    </w:p>
    <w:p>
      <w:pPr>
        <w:spacing w:after="160" w:line="300"/>
      </w:pPr>
      <w:r>
        <w:rPr>
          <w:rFonts w:ascii="Arial" w:cs="Arial" w:eastAsia="Arial" w:hAnsi="Arial"/>
          <w:b w:val="false"/>
          <w:bCs w:val="false"/>
          <w:i w:val="false"/>
          <w:iCs w:val="false"/>
          <w:sz w:val="22"/>
          <w:szCs w:val="22"/>
        </w:rPr>
        <w:t xml:space="preserve">The rhythm question deserves separate articulation. The practice's rhythm — its weekly, daily, monthly, annual, or seasonal recurrence — is part of the practice's structural form rather than incidental to it. The sabbath's weekly recurrence (Exod. 20:8–11) is the practice's structural form. The Passover's annual recurrence (Exod. 12:14) is the practice's structural form. The eucharist's regular recurrence ("as often as you eat this bread") is the practice's structural form. The rhythm operates by the same mechanism the practice's other structural features operate by — the rhythm holds the substance in temporal embodied articulation across the participant's lifecycle, with the substance received through the rhythm's repeated occurrence. The participant who participates in the practice on the practice's rhythm receives the substance through the rhythm; the participant who participates outside the rhythm (an occasional eucharist, an occasional Passover, an occasional sabbath) receives a different operational substance from the practice — not the inter-generational transmission the law names, but a different operational mode that the catalog does not currently treat. The rhythm is constitutive.</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The law meets all four of the inclusion criteria. First, multi-author scriptural support is strong: five biblical authors hold the law in operational form across both Testaments (Moses across Deuteronomy and Exodus; the Joshua writer; Paul across 1 Corinthians and 2 Timothy; Luke at Acts 2:42–47; the Psalmist at Ps. 78), with the broader OT cultic-feast cycle and the NT instituted practices (baptism, the prayers, the Scripture readings, the apostolic traditions) holding the law's operational scope across the canonical witness.</w:t>
      </w:r>
    </w:p>
    <w:p>
      <w:pPr>
        <w:spacing w:after="160" w:line="300"/>
      </w:pPr>
      <w:r>
        <w:rPr>
          <w:rFonts w:ascii="Arial" w:cs="Arial" w:eastAsia="Arial" w:hAnsi="Arial"/>
          <w:b w:val="false"/>
          <w:bCs w:val="false"/>
          <w:i w:val="false"/>
          <w:iCs w:val="false"/>
          <w:sz w:val="22"/>
          <w:szCs w:val="22"/>
        </w:rPr>
        <w:t xml:space="preserve">Second, broad acceptance across mainstream Christian traditions is uncontested on the operational claim. The Catholic and Orthodox traditions hold the law with particular operational weight in their sacramental and liturgical theologies — the sacraments are precisely the embedded practices the law names, with the substance transmitted through the practices' regular performance across the participants' lifecycles. The Anglican tradition holds the same operational frame under the Book of Common Prayer's liturgical structure. The Lutheran and Reformed traditions hold the embedded practices (preaching as practice, the sacraments as practices, the corporate prayers, the Scripture readings) under the means-of-grace categories. The Wesleyan tradition holds the practices under the means-of-grace categories with the addition of the class-meeting practice. The Anabaptist and free-church traditions hold the practices under the discipleship-formation categories with the addition of the believer's-baptism practice and the foot-washing practice. The contemporary spiritual-disciplines movement (Foster, Willard, the broader spiritual-formation tradition) holds the same operational frame under the spiritual-disciplines categories. Tradition-differences exist on the </w:t>
      </w:r>
      <w:r>
        <w:rPr>
          <w:rFonts w:ascii="Arial" w:cs="Arial" w:eastAsia="Arial" w:hAnsi="Arial"/>
          <w:b w:val="false"/>
          <w:bCs w:val="false"/>
          <w:i/>
          <w:iCs/>
          <w:sz w:val="22"/>
          <w:szCs w:val="22"/>
        </w:rPr>
        <w:t xml:space="preserve">specific list</w:t>
      </w:r>
      <w:r>
        <w:rPr>
          <w:rFonts w:ascii="Arial" w:cs="Arial" w:eastAsia="Arial" w:hAnsi="Arial"/>
          <w:b w:val="false"/>
          <w:bCs w:val="false"/>
          <w:i w:val="false"/>
          <w:iCs w:val="false"/>
          <w:sz w:val="22"/>
          <w:szCs w:val="22"/>
        </w:rPr>
        <w:t xml:space="preserve"> of practices and the </w:t>
      </w:r>
      <w:r>
        <w:rPr>
          <w:rFonts w:ascii="Arial" w:cs="Arial" w:eastAsia="Arial" w:hAnsi="Arial"/>
          <w:b w:val="false"/>
          <w:bCs w:val="false"/>
          <w:i/>
          <w:iCs/>
          <w:sz w:val="22"/>
          <w:szCs w:val="22"/>
        </w:rPr>
        <w:t xml:space="preserve">theology of the practice's operation</w:t>
      </w:r>
      <w:r>
        <w:rPr>
          <w:rFonts w:ascii="Arial" w:cs="Arial" w:eastAsia="Arial" w:hAnsi="Arial"/>
          <w:b w:val="false"/>
          <w:bCs w:val="false"/>
          <w:i w:val="false"/>
          <w:iCs w:val="false"/>
          <w:sz w:val="22"/>
          <w:szCs w:val="22"/>
        </w:rPr>
        <w:t xml:space="preserve">, but the operational claim — that embedded practices conducted in regular rhythm across generations transmit faith-substance — is held in common.</w:t>
      </w:r>
    </w:p>
    <w:p>
      <w:pPr>
        <w:spacing w:after="160" w:line="300"/>
      </w:pPr>
      <w:r>
        <w:rPr>
          <w:rFonts w:ascii="Arial" w:cs="Arial" w:eastAsia="Arial" w:hAnsi="Arial"/>
          <w:b w:val="false"/>
          <w:bCs w:val="false"/>
          <w:i w:val="false"/>
          <w:iCs w:val="false"/>
          <w:sz w:val="22"/>
          <w:szCs w:val="22"/>
        </w:rPr>
        <w:t xml:space="preserve">Third, the law is directional in the strict sense. Embedded practices conducted in regular rhythm with substance operationally present produce the transmission of the substance across generations; embedded practices conducted in regular rhythm with substance hollowed out produce the form-without-power dynamic the Mirror names; the absence of the practices produces the absence of the transmission the law operates. The directionality operates at every generational scale within the law's reach.</w:t>
      </w:r>
    </w:p>
    <w:p>
      <w:pPr>
        <w:spacing w:after="160" w:line="300"/>
      </w:pPr>
      <w:r>
        <w:rPr>
          <w:rFonts w:ascii="Arial" w:cs="Arial" w:eastAsia="Arial" w:hAnsi="Arial"/>
          <w:b w:val="false"/>
          <w:bCs w:val="false"/>
          <w:i w:val="false"/>
          <w:iCs w:val="false"/>
          <w:sz w:val="22"/>
          <w:szCs w:val="22"/>
        </w:rPr>
        <w:t xml:space="preserve">Fourth, the law operates at the principle level rather than as a situational command. The principle (embedded practices in regular rhythm with substance present transmit the substance across generations) is clearly distinguishable from any particular practice's specific content. The law applies to the sacramental practices the Catholic and Orthodox traditions hold central, to the means-of-grace practices the Reformation traditions hold central, to the class-meeting practice the Wesleyan tradition holds central, to the believer's-baptism practice the Anabaptist tradition holds central, and to the contemporary spiritual-disciplines practices the Foster-Willard tradition holds central, with the same operational structure operating across the specific practices. Placement at Band 1 of the band-of-closeness clarification is appropriate.</w:t>
      </w:r>
    </w:p>
    <w:p>
      <w:pPr>
        <w:spacing w:after="160" w:line="300"/>
      </w:pPr>
      <w:r>
        <w:rPr>
          <w:rFonts w:ascii="Arial" w:cs="Arial" w:eastAsia="Arial" w:hAnsi="Arial"/>
          <w:b w:val="false"/>
          <w:bCs w:val="false"/>
          <w:i w:val="false"/>
          <w:iCs w:val="false"/>
          <w:sz w:val="22"/>
          <w:szCs w:val="22"/>
        </w:rPr>
        <w:t xml:space="preserve">The law's placement at P4/GV (Generational / Body &amp; Action) is the right one. The operational mechanism is the embodied practice itself — the body's participation in the practice's structural form across the practice's regular rhythm — and the Group V designation captures the embodied-action character of the mechanism. The placement question raised at v5_6_0_8 (the working judgment to hold Group V designations through v5_6_0_9 and revisit at v5_6_0_10 when both Period 4 Open Unknowns have been closed) is reaffirmed at the present admission; the Thick Practice Transmission Law's mechanism is embodied-practice in the most direct sense the Group V designation captures, and the law's placement at Group V is operationally sound. The v5_6_0_10 revisit of the Group V placement question can examine whether the cumulative evidence across FL.II (P1/GV), FL.XXIV (P3/GV), and the present law (P4/GV) supports the Group V designation as operating consistently or whether some adjustments are warranted.</w:t>
      </w:r>
    </w:p>
    <w:p>
      <w:pPr>
        <w:spacing w:after="160" w:line="300"/>
      </w:pPr>
      <w:r>
        <w:rPr>
          <w:rFonts w:ascii="Arial" w:cs="Arial" w:eastAsia="Arial" w:hAnsi="Arial"/>
          <w:b w:val="false"/>
          <w:bCs w:val="false"/>
          <w:i w:val="false"/>
          <w:iCs w:val="false"/>
          <w:sz w:val="22"/>
          <w:szCs w:val="22"/>
        </w:rPr>
        <w:t xml:space="preserve">The placement at Period 4 (Generational) is the right one because the operational scope of the law is the inter-generational transmission across the participants' lifecycles. The placement makes the law one of five Foundational Laws at the generational row (FL.XVII Substitution-Cascade at P4/GII Heart, FL.XIX Spirit Anointing Transmission at P4/GI Spirit, FL.XXI Household Formation at P4/GII Heart paired with FL.XVII, FL.XXVI Doctrinal Calcification at P4/GIV Mind/Will, and the present law at P4/GV Body &amp; Action). The Period 4 row's structural completion now stands at five Foundational Laws across the six Groups, with one Open Unknown remaining (Generational Nested Structure at P4/GVI, anticipated for v5_6_0_10). The "What the Completed Period 4 Row Reveals" sub-section anticipated for v5_6_0_10 will articulate what the completed row teaches the catalog about generational-scale operation.</w:t>
      </w:r>
    </w:p>
    <w:p>
      <w:pPr>
        <w:spacing w:after="160" w:line="300"/>
      </w:pPr>
      <w:r>
        <w:rPr>
          <w:rFonts w:ascii="Arial" w:cs="Arial" w:eastAsia="Arial" w:hAnsi="Arial"/>
          <w:b/>
          <w:bCs/>
          <w:i w:val="false"/>
          <w:iCs w:val="false"/>
          <w:sz w:val="22"/>
          <w:szCs w:val="22"/>
        </w:rPr>
        <w:t xml:space="preserve">Proposed Law: The Thick Practice Transmission Law. Embedded practices conducted in regular rhythm across generations — sabbath observance, passover and the seder, baptism and its rememberings, the eucharist and the Lord's table, sustained corporate prayer, sustained corporate Scripture reading, the catechetical cycles, the seasonal liturgical observances — operate as transmission vehicles for the substance of the faith that deliberate teaching alone cannot convey; the practices encode the substance in embodied form, the substance is received across generations through the participant's repeated participation in the practice's structural form across the formative years, and the practice's regular rhythm is constitutive of the mechanism.</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Thick Practice Transmission Law's idol-ward face is the form-without-power dynamic — the continued performance of the practice with the substance hollowed out, with the practice's structural form persisting while the operational substance has departed. 2 Tim. 3:5 names the canonical scriptural articulation: "having the appearance of godliness, but denying its power. Avoid such people." The Pharisaic practice-forms in the Markan and Matthean controversies (Mark 7:1–13's tradition of the elders; Matt. 23:23's tithing of mint and dill and cumin while neglecting the weightier matters of the law) are the canonical NT cases of the form-without-power dynamic. The dynamic operates by the practice's structural persistence outlasting the substance's operational presence; the form continues while the power departs, and the participants' continued participation in the form-without-power produces operational consequences that are inverse to the law's positive direction — the practice no longer transmits the substance, the practice's structural persistence becomes a vehicle for substituted substances (the appearance of godliness, the demonstration of religious correctness, the social-and-cultural identity-marker function), and the participants are not formed by the substance the practice was originally designed to transmit. The recovery of the practice's positive operation requires the recovery of the substance the practice encodes, with the practice's structural form held intact as the operational vehicle within which the substance is to be re-recovered.</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Five-or-more-biblical-author cross-Testament support (Moses across Deuteronomy and Exodus; the Joshua writer; Paul across 1 Corinthians and 2 Timothy; Luke at Acts 2:42–47; the Psalmist at Ps. 78), with the broader OT cultic-feast cycle and the NT instituted practices establishing the law's operational scope across the canonical witness. Uncontested broad acceptance across mainstream Christian traditions on the operational claim (tradition-differences exist on the specific list of practices and the theology of the practice's operation but the underlying principle is held in common). Directional structure clear. Principle-level operation at Band 1 (clearly-distinguishable principle).</w:t>
      </w:r>
    </w:p>
    <w:p>
      <w:pPr>
        <w:spacing w:after="160" w:line="300"/>
      </w:pPr>
      <w:r>
        <w:rPr>
          <w:rFonts w:ascii="Arial" w:cs="Arial" w:eastAsia="Arial" w:hAnsi="Arial"/>
          <w:b w:val="false"/>
          <w:bCs w:val="false"/>
          <w:i w:val="false"/>
          <w:iCs w:val="false"/>
          <w:sz w:val="22"/>
          <w:szCs w:val="22"/>
        </w:rPr>
        <w:t xml:space="preserve">This is Foundational Law XXVII — the operational law of wide consent that names the embedded practices conducted in regular rhythm across generations as the operational vehicles of the substance's inter-generational transmission, and that closes the second of the three Period 4 Open Unknowns by establishing the embedded-practice mechanism alongside the deliberate-teaching mechanism of FL.XXI and the doctrinal-tradition mechanism of FL.XXVI. The next revision (v5_6_0_10) is anticipated to close the final Period 4 Open Unknown with the Generational Nested Structure Law at P4/GVI and to include the dedicated "What the Completed Period 4 Row Reveals" sub-section in the Vol 5 chapter.</w:t>
      </w:r>
    </w:p>
    <w:p>
      <w:r>
        <w:br w:type="page"/>
      </w:r>
    </w:p>
    <w:p>
      <w:pPr>
        <w:spacing w:after="240" w:before="1440"/>
        <w:jc w:val="center"/>
      </w:pPr>
      <w:r>
        <w:rPr>
          <w:rFonts w:ascii="Arial" w:cs="Arial" w:eastAsia="Arial" w:hAnsi="Arial"/>
          <w:b/>
          <w:bCs/>
          <w:sz w:val="40"/>
          <w:szCs w:val="40"/>
        </w:rPr>
        <w:t xml:space="preserve">Section B</w:t>
      </w:r>
    </w:p>
    <w:p>
      <w:pPr>
        <w:spacing w:after="720"/>
        <w:jc w:val="center"/>
      </w:pPr>
      <w:r>
        <w:rPr>
          <w:rFonts w:ascii="Arial" w:cs="Arial" w:eastAsia="Arial" w:hAnsi="Arial"/>
          <w:i/>
          <w:iCs/>
          <w:sz w:val="26"/>
          <w:szCs w:val="26"/>
        </w:rPr>
        <w:t xml:space="preserve">Updated Vol 1 Overview (v5_6_0_23)</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Foundational Laws: Twenty-Seven Operational Laws of Wide Consent</w:t>
      </w:r>
    </w:p>
    <w:p>
      <w:pPr>
        <w:spacing w:after="160" w:line="300"/>
      </w:pPr>
      <w:r>
        <w:rPr>
          <w:rFonts w:ascii="Arial" w:cs="Arial" w:eastAsia="Arial" w:hAnsi="Arial"/>
          <w:b w:val="false"/>
          <w:bCs w:val="false"/>
          <w:i w:val="false"/>
          <w:iCs w:val="false"/>
          <w:sz w:val="22"/>
          <w:szCs w:val="22"/>
        </w:rPr>
        <w:t xml:space="preserve">Before I begin the personal explorations that make up the body of this volume, I want to set out twenty-seven operational laws that are already broadly accepted across mainstream Christian tradition. These are not my discoveries. They are the floor I am building on.</w:t>
      </w:r>
    </w:p>
    <w:p>
      <w:pPr>
        <w:spacing w:after="160" w:line="300"/>
      </w:pPr>
      <w:r>
        <w:rPr>
          <w:rFonts w:ascii="Arial" w:cs="Arial" w:eastAsia="Arial" w:hAnsi="Arial"/>
          <w:b w:val="false"/>
          <w:bCs w:val="false"/>
          <w:i w:val="false"/>
          <w:iCs w:val="false"/>
          <w:sz w:val="22"/>
          <w:szCs w:val="22"/>
        </w:rPr>
        <w:t xml:space="preserve">The Explorations that follow this section are my own investigations into territory I have found less well mapped: how faith is generated by hearing, what the structure of a person is, how the Fear of the Lord functions as a gateway, how prayer operates as a resonance phenomenon. Those are propositional claims in the Reasonably Inferred to Clearly Taught tiers. They need testing. The community has not yet weighed in.</w:t>
      </w:r>
    </w:p>
    <w:p>
      <w:pPr>
        <w:spacing w:after="160" w:line="300"/>
      </w:pPr>
      <w:r>
        <w:rPr>
          <w:rFonts w:ascii="Arial" w:cs="Arial" w:eastAsia="Arial" w:hAnsi="Arial"/>
          <w:b w:val="false"/>
          <w:bCs w:val="false"/>
          <w:i w:val="false"/>
          <w:iCs w:val="false"/>
          <w:sz w:val="22"/>
          <w:szCs w:val="22"/>
        </w:rPr>
        <w:t xml:space="preserve">But these twenty-seven are different. Each one has been recognized as foundational across nearly the entire breadth of Christian thought — from the patristic period through the medieval doctors, through the magisterial Reformation, through the modern theological recovery, and into contemporary pastoral practice. The Reformed tradition acknowledges them. The Catholic and Orthodox traditions acknowledge them. The Wesleyan, Pentecostal, Anabaptist, and evangelical streams acknowledge them. They are not contested. They are the operational grammar within which the church's various traditions hold their disagreements about other matters.</w:t>
      </w:r>
    </w:p>
    <w:p>
      <w:pPr>
        <w:spacing w:after="160" w:line="300"/>
      </w:pPr>
      <w:r>
        <w:rPr>
          <w:rFonts w:ascii="Arial" w:cs="Arial" w:eastAsia="Arial" w:hAnsi="Arial"/>
          <w:b w:val="false"/>
          <w:bCs w:val="false"/>
          <w:i w:val="false"/>
          <w:iCs w:val="false"/>
          <w:sz w:val="22"/>
          <w:szCs w:val="22"/>
        </w:rPr>
        <w:t xml:space="preserve">I will state each one in a single sentence. The single-sentence statement is deliberate: it forces the law into its most operational form, the form in which the cause-and-effect relationship is plainly named and the principle-level operation is plainly visible.</w:t>
      </w:r>
    </w:p>
    <w:p>
      <w:pPr>
        <w:pStyle w:val="Heading2"/>
        <w:spacing w:after="160" w:before="240"/>
      </w:pPr>
      <w:r>
        <w:rPr>
          <w:rFonts w:ascii="Arial" w:cs="Arial" w:eastAsia="Arial" w:hAnsi="Arial"/>
          <w:b/>
          <w:bCs/>
          <w:sz w:val="30"/>
          <w:szCs w:val="30"/>
        </w:rPr>
        <w:t xml:space="preserve">The Inclusion Bar</w:t>
      </w:r>
    </w:p>
    <w:p>
      <w:pPr>
        <w:spacing w:after="160" w:line="300"/>
      </w:pPr>
      <w:r>
        <w:rPr>
          <w:rFonts w:ascii="Arial" w:cs="Arial" w:eastAsia="Arial" w:hAnsi="Arial"/>
          <w:b w:val="false"/>
          <w:bCs w:val="false"/>
          <w:i w:val="false"/>
          <w:iCs w:val="false"/>
          <w:sz w:val="22"/>
          <w:szCs w:val="22"/>
        </w:rPr>
        <w:t xml:space="preserve">A law qualifies as Foundational only if it clears four criteria.</w:t>
      </w:r>
    </w:p>
    <w:p>
      <w:pPr>
        <w:spacing w:after="160" w:line="300"/>
      </w:pPr>
      <w:r>
        <w:rPr>
          <w:rFonts w:ascii="Arial" w:cs="Arial" w:eastAsia="Arial" w:hAnsi="Arial"/>
          <w:b w:val="false"/>
          <w:bCs w:val="false"/>
          <w:i w:val="false"/>
          <w:iCs w:val="false"/>
          <w:sz w:val="22"/>
          <w:szCs w:val="22"/>
        </w:rPr>
        <w:t xml:space="preserve">First, </w:t>
      </w:r>
      <w:r>
        <w:rPr>
          <w:rFonts w:ascii="Arial" w:cs="Arial" w:eastAsia="Arial" w:hAnsi="Arial"/>
          <w:b w:val="false"/>
          <w:bCs w:val="false"/>
          <w:i/>
          <w:iCs/>
          <w:sz w:val="22"/>
          <w:szCs w:val="22"/>
        </w:rPr>
        <w:t xml:space="preserve">multi-author scriptural support</w:t>
      </w:r>
      <w:r>
        <w:rPr>
          <w:rFonts w:ascii="Arial" w:cs="Arial" w:eastAsia="Arial" w:hAnsi="Arial"/>
          <w:b w:val="false"/>
          <w:bCs w:val="false"/>
          <w:i w:val="false"/>
          <w:iCs w:val="false"/>
          <w:sz w:val="22"/>
          <w:szCs w:val="22"/>
        </w:rPr>
        <w:t xml:space="preserve">. The cause-and-effect relationship must be stated or strongly implied across multiple scriptures from at least two different biblical authors, with the criterion functioning as a guard against single-author hobby horses or single-proof-text readings dressed up as principles.</w:t>
      </w:r>
    </w:p>
    <w:p>
      <w:pPr>
        <w:spacing w:after="160" w:line="300"/>
      </w:pPr>
      <w:r>
        <w:rPr>
          <w:rFonts w:ascii="Arial" w:cs="Arial" w:eastAsia="Arial" w:hAnsi="Arial"/>
          <w:b w:val="false"/>
          <w:bCs w:val="false"/>
          <w:i w:val="false"/>
          <w:iCs w:val="false"/>
          <w:sz w:val="22"/>
          <w:szCs w:val="22"/>
        </w:rPr>
        <w:t xml:space="preserve">Second, </w:t>
      </w:r>
      <w:r>
        <w:rPr>
          <w:rFonts w:ascii="Arial" w:cs="Arial" w:eastAsia="Arial" w:hAnsi="Arial"/>
          <w:b w:val="false"/>
          <w:bCs w:val="false"/>
          <w:i/>
          <w:iCs/>
          <w:sz w:val="22"/>
          <w:szCs w:val="22"/>
        </w:rPr>
        <w:t xml:space="preserve">broad acceptance</w:t>
      </w:r>
      <w:r>
        <w:rPr>
          <w:rFonts w:ascii="Arial" w:cs="Arial" w:eastAsia="Arial" w:hAnsi="Arial"/>
          <w:b w:val="false"/>
          <w:bCs w:val="false"/>
          <w:i w:val="false"/>
          <w:iCs w:val="false"/>
          <w:sz w:val="22"/>
          <w:szCs w:val="22"/>
        </w:rPr>
        <w:t xml:space="preserve">. The relationship must be generally affirmed across mainstream Christian traditions, not contested doctrine and not a minority reading, with the criterion functioning as a guard against partisan-tradition impositions on the catalog.</w:t>
      </w:r>
    </w:p>
    <w:p>
      <w:pPr>
        <w:spacing w:after="160" w:line="300"/>
      </w:pPr>
      <w:r>
        <w:rPr>
          <w:rFonts w:ascii="Arial" w:cs="Arial" w:eastAsia="Arial" w:hAnsi="Arial"/>
          <w:b w:val="false"/>
          <w:bCs w:val="false"/>
          <w:i w:val="false"/>
          <w:iCs w:val="false"/>
          <w:sz w:val="22"/>
          <w:szCs w:val="22"/>
        </w:rPr>
        <w:t xml:space="preserve">Third, </w:t>
      </w:r>
      <w:r>
        <w:rPr>
          <w:rFonts w:ascii="Arial" w:cs="Arial" w:eastAsia="Arial" w:hAnsi="Arial"/>
          <w:b w:val="false"/>
          <w:bCs w:val="false"/>
          <w:i/>
          <w:iCs/>
          <w:sz w:val="22"/>
          <w:szCs w:val="22"/>
        </w:rPr>
        <w:t xml:space="preserve">directionality</w:t>
      </w:r>
      <w:r>
        <w:rPr>
          <w:rFonts w:ascii="Arial" w:cs="Arial" w:eastAsia="Arial" w:hAnsi="Arial"/>
          <w:b w:val="false"/>
          <w:bCs w:val="false"/>
          <w:i w:val="false"/>
          <w:iCs w:val="false"/>
          <w:sz w:val="22"/>
          <w:szCs w:val="22"/>
        </w:rPr>
        <w:t xml:space="preserve">. The relationship must be explicitly causal or conditional (X leads to Y, or X is the condition under which Y happens), not merely a descriptive observation, with the criterion functioning as a guard against beautiful-truths-that-do-not-actually-operate-as-laws.</w:t>
      </w:r>
    </w:p>
    <w:p>
      <w:pPr>
        <w:spacing w:after="160" w:line="300"/>
      </w:pPr>
      <w:r>
        <w:rPr>
          <w:rFonts w:ascii="Arial" w:cs="Arial" w:eastAsia="Arial" w:hAnsi="Arial"/>
          <w:b w:val="false"/>
          <w:bCs w:val="false"/>
          <w:i w:val="false"/>
          <w:iCs w:val="false"/>
          <w:sz w:val="22"/>
          <w:szCs w:val="22"/>
        </w:rPr>
        <w:t xml:space="preserve">Fourth, </w:t>
      </w:r>
      <w:r>
        <w:rPr>
          <w:rFonts w:ascii="Arial" w:cs="Arial" w:eastAsia="Arial" w:hAnsi="Arial"/>
          <w:b w:val="false"/>
          <w:bCs w:val="false"/>
          <w:i/>
          <w:iCs/>
          <w:sz w:val="22"/>
          <w:szCs w:val="22"/>
        </w:rPr>
        <w:t xml:space="preserve">principle-level</w:t>
      </w:r>
      <w:r>
        <w:rPr>
          <w:rFonts w:ascii="Arial" w:cs="Arial" w:eastAsia="Arial" w:hAnsi="Arial"/>
          <w:b w:val="false"/>
          <w:bCs w:val="false"/>
          <w:i w:val="false"/>
          <w:iCs w:val="false"/>
          <w:sz w:val="22"/>
          <w:szCs w:val="22"/>
        </w:rPr>
        <w:t xml:space="preserve">. The relationship must operate at the level of a governing principle, not a specific instruction tied to a particular circumstance, with the criterion functioning as a guard against confusing scripture's situational commands for its operational laws.</w:t>
      </w:r>
    </w:p>
    <w:p>
      <w:pPr>
        <w:spacing w:after="160" w:line="300"/>
      </w:pPr>
      <w:r>
        <w:rPr>
          <w:rFonts w:ascii="Arial" w:cs="Arial" w:eastAsia="Arial" w:hAnsi="Arial"/>
          <w:b w:val="false"/>
          <w:bCs w:val="false"/>
          <w:i w:val="false"/>
          <w:iCs w:val="false"/>
          <w:sz w:val="22"/>
          <w:szCs w:val="22"/>
        </w:rPr>
        <w:t xml:space="preserve">The principle-level criterion has its band-of-closeness articulation in the Vol 5 chapter; Band 1 holds the clearly-distinguishable principles, Band 2 holds the principles-with-pathway-specified (FL.XVIII Bitter-Root Community Law is canonical), and Band 3 holds the principles-very-close-to-commandment-instantiation (FL.XXIII Sabbath Rest Law is canonical and the catalog's only current Band 3 admission). The bulk of the Foundational Laws sit at Band 1, including the four laws added at v5_6_0_22 alongside Sabbath and the present revision's FL.XXVII addition.</w:t>
      </w:r>
    </w:p>
    <w:p>
      <w:pPr>
        <w:pStyle w:val="Heading2"/>
        <w:spacing w:after="160" w:before="240"/>
      </w:pPr>
      <w:r>
        <w:rPr>
          <w:rFonts w:ascii="Arial" w:cs="Arial" w:eastAsia="Arial" w:hAnsi="Arial"/>
          <w:b/>
          <w:bCs/>
          <w:sz w:val="30"/>
          <w:szCs w:val="30"/>
        </w:rPr>
        <w:t xml:space="preserve">The Twenty-Seven Laws</w:t>
      </w:r>
    </w:p>
    <w:p>
      <w:pPr>
        <w:spacing w:after="160" w:line="300"/>
      </w:pPr>
      <w:r>
        <w:rPr>
          <w:rFonts w:ascii="Arial" w:cs="Arial" w:eastAsia="Arial" w:hAnsi="Arial"/>
          <w:b w:val="false"/>
          <w:bCs w:val="false"/>
          <w:i w:val="false"/>
          <w:iCs w:val="false"/>
          <w:sz w:val="22"/>
          <w:szCs w:val="22"/>
        </w:rPr>
        <w:t xml:space="preserve">The twenty-seven Foundational Laws are summarized below in numerical order, with the Period/Group placement, the directionality tag, and the single-sentence operational statement. Each law has its own chapter in this volume with full scriptural ground, mechanism, and articulation.</w:t>
      </w:r>
    </w:p>
    <w:p>
      <w:pPr>
        <w:spacing w:after="160" w:line="300"/>
      </w:pPr>
      <w:r>
        <w:rPr>
          <w:rFonts w:ascii="Arial" w:cs="Arial" w:eastAsia="Arial" w:hAnsi="Arial"/>
          <w:b/>
          <w:bCs/>
          <w:i w:val="false"/>
          <w:iCs w:val="false"/>
          <w:sz w:val="22"/>
          <w:szCs w:val="22"/>
        </w:rPr>
        <w:t xml:space="preserve">FL.I — The Sowing-and-Reaping Law (P0/GV, V).</w:t>
      </w:r>
      <w:r>
        <w:rPr>
          <w:rFonts w:ascii="Arial" w:cs="Arial" w:eastAsia="Arial" w:hAnsi="Arial"/>
          <w:b w:val="false"/>
          <w:bCs w:val="false"/>
          <w:i w:val="false"/>
          <w:iCs w:val="false"/>
          <w:sz w:val="22"/>
          <w:szCs w:val="22"/>
        </w:rPr>
        <w:t xml:space="preserve"> What is sown is what is reaped, with the harvest's character determined by the seed's character and its quantity proportional to the sowing's quantity (Gal. 6:7–9; Hos. 10:12; 2 Cor. 9:6).</w:t>
      </w:r>
    </w:p>
    <w:p>
      <w:pPr>
        <w:spacing w:after="160" w:line="300"/>
      </w:pPr>
      <w:r>
        <w:rPr>
          <w:rFonts w:ascii="Arial" w:cs="Arial" w:eastAsia="Arial" w:hAnsi="Arial"/>
          <w:b/>
          <w:bCs/>
          <w:i w:val="false"/>
          <w:iCs w:val="false"/>
          <w:sz w:val="22"/>
          <w:szCs w:val="22"/>
        </w:rPr>
        <w:t xml:space="preserve">FL.II — The Confession-Restoration Law (P1/GV, V).</w:t>
      </w:r>
      <w:r>
        <w:rPr>
          <w:rFonts w:ascii="Arial" w:cs="Arial" w:eastAsia="Arial" w:hAnsi="Arial"/>
          <w:b w:val="false"/>
          <w:bCs w:val="false"/>
          <w:i w:val="false"/>
          <w:iCs w:val="false"/>
          <w:sz w:val="22"/>
          <w:szCs w:val="22"/>
        </w:rPr>
        <w:t xml:space="preserve"> Spoken confession of sin to God produces forgiveness, cleansing, and restored fellowship; concealment of sin produces compounding interior load (1 John 1:9; Prov. 28:13; Ps. 32:3–5).</w:t>
      </w:r>
    </w:p>
    <w:p>
      <w:pPr>
        <w:spacing w:after="160" w:line="300"/>
      </w:pPr>
      <w:r>
        <w:rPr>
          <w:rFonts w:ascii="Arial" w:cs="Arial" w:eastAsia="Arial" w:hAnsi="Arial"/>
          <w:b/>
          <w:bCs/>
          <w:i w:val="false"/>
          <w:iCs w:val="false"/>
          <w:sz w:val="22"/>
          <w:szCs w:val="22"/>
        </w:rPr>
        <w:t xml:space="preserve">FL.III — The Heart-Throne Law (P1/GII, B, constitutive bidirectional).</w:t>
      </w:r>
      <w:r>
        <w:rPr>
          <w:rFonts w:ascii="Arial" w:cs="Arial" w:eastAsia="Arial" w:hAnsi="Arial"/>
          <w:b w:val="false"/>
          <w:bCs w:val="false"/>
          <w:i w:val="false"/>
          <w:iCs w:val="false"/>
          <w:sz w:val="22"/>
          <w:szCs w:val="22"/>
        </w:rPr>
        <w:t xml:space="preserve"> What the heart enthrones as its primary Object becomes the structuring center of the participant's formation; the throne admits only one Object at a time (Matt. 6:21; Matt. 6:24; Exod. 20:3).</w:t>
      </w:r>
    </w:p>
    <w:p>
      <w:pPr>
        <w:spacing w:after="160" w:line="300"/>
      </w:pPr>
      <w:r>
        <w:rPr>
          <w:rFonts w:ascii="Arial" w:cs="Arial" w:eastAsia="Arial" w:hAnsi="Arial"/>
          <w:b/>
          <w:bCs/>
          <w:i w:val="false"/>
          <w:iCs w:val="false"/>
          <w:sz w:val="22"/>
          <w:szCs w:val="22"/>
        </w:rPr>
        <w:t xml:space="preserve">FL.IV — The Humility-Exaltation Law (P1/GIII, B, constitutive bidirectional).</w:t>
      </w:r>
      <w:r>
        <w:rPr>
          <w:rFonts w:ascii="Arial" w:cs="Arial" w:eastAsia="Arial" w:hAnsi="Arial"/>
          <w:b w:val="false"/>
          <w:bCs w:val="false"/>
          <w:i w:val="false"/>
          <w:iCs w:val="false"/>
          <w:sz w:val="22"/>
          <w:szCs w:val="22"/>
        </w:rPr>
        <w:t xml:space="preserve"> Humbling oneself before God precedes exaltation by God; self-exaltation before God precedes humbling by God (Jas. 4:10; 1 Pet. 5:6; Luke 14:11; Prov. 3:34).</w:t>
      </w:r>
    </w:p>
    <w:p>
      <w:pPr>
        <w:spacing w:after="160" w:line="300"/>
      </w:pPr>
      <w:r>
        <w:rPr>
          <w:rFonts w:ascii="Arial" w:cs="Arial" w:eastAsia="Arial" w:hAnsi="Arial"/>
          <w:b/>
          <w:bCs/>
          <w:i w:val="false"/>
          <w:iCs w:val="false"/>
          <w:sz w:val="22"/>
          <w:szCs w:val="22"/>
        </w:rPr>
        <w:t xml:space="preserve">FL.V — The Reciprocal Forgiveness Law (P2/GV, H).</w:t>
      </w:r>
      <w:r>
        <w:rPr>
          <w:rFonts w:ascii="Arial" w:cs="Arial" w:eastAsia="Arial" w:hAnsi="Arial"/>
          <w:b w:val="false"/>
          <w:bCs w:val="false"/>
          <w:i w:val="false"/>
          <w:iCs w:val="false"/>
          <w:sz w:val="22"/>
          <w:szCs w:val="22"/>
        </w:rPr>
        <w:t xml:space="preserve"> Forgiveness extended to others is the condition under which forgiveness from God is operatively received; refusal to forgive others blocks the operational reception of forgiveness from God (Matt. 6:14–15; Matt. 18:21–35; Mark 11:25).</w:t>
      </w:r>
    </w:p>
    <w:p>
      <w:pPr>
        <w:spacing w:after="160" w:line="300"/>
      </w:pPr>
      <w:r>
        <w:rPr>
          <w:rFonts w:ascii="Arial" w:cs="Arial" w:eastAsia="Arial" w:hAnsi="Arial"/>
          <w:b/>
          <w:bCs/>
          <w:i w:val="false"/>
          <w:iCs w:val="false"/>
          <w:sz w:val="22"/>
          <w:szCs w:val="22"/>
        </w:rPr>
        <w:t xml:space="preserve">FL.VI — The Hear-and-Obey Law (P0/GV, V).</w:t>
      </w:r>
      <w:r>
        <w:rPr>
          <w:rFonts w:ascii="Arial" w:cs="Arial" w:eastAsia="Arial" w:hAnsi="Arial"/>
          <w:b w:val="false"/>
          <w:bCs w:val="false"/>
          <w:i w:val="false"/>
          <w:iCs w:val="false"/>
          <w:sz w:val="22"/>
          <w:szCs w:val="22"/>
        </w:rPr>
        <w:t xml:space="preserve"> Hearing the word of God produces the operational benefit of the word only where the hearing issues in doing; hearing without doing produces the self-deception of having heard (Jas. 1:22–25; Matt. 7:24–27; Luke 11:28).</w:t>
      </w:r>
    </w:p>
    <w:p>
      <w:pPr>
        <w:spacing w:after="160" w:line="300"/>
      </w:pPr>
      <w:r>
        <w:rPr>
          <w:rFonts w:ascii="Arial" w:cs="Arial" w:eastAsia="Arial" w:hAnsi="Arial"/>
          <w:b/>
          <w:bCs/>
          <w:i w:val="false"/>
          <w:iCs w:val="false"/>
          <w:sz w:val="22"/>
          <w:szCs w:val="22"/>
        </w:rPr>
        <w:t xml:space="preserve">FL.VII — The Drawing-Near Reciprocity Law (P1/GI, B, constitutive bidirectional).</w:t>
      </w:r>
      <w:r>
        <w:rPr>
          <w:rFonts w:ascii="Arial" w:cs="Arial" w:eastAsia="Arial" w:hAnsi="Arial"/>
          <w:b w:val="false"/>
          <w:bCs w:val="false"/>
          <w:i w:val="false"/>
          <w:iCs w:val="false"/>
          <w:sz w:val="22"/>
          <w:szCs w:val="22"/>
        </w:rPr>
        <w:t xml:space="preserve"> Drawing near to God produces God's drawing near to the participant; the relational direction is reciprocal under the conditions of approach the scripture specifies (Jas. 4:8; Heb. 10:22; Zech. 1:3).</w:t>
      </w:r>
    </w:p>
    <w:p>
      <w:pPr>
        <w:spacing w:after="160" w:line="300"/>
      </w:pPr>
      <w:r>
        <w:rPr>
          <w:rFonts w:ascii="Arial" w:cs="Arial" w:eastAsia="Arial" w:hAnsi="Arial"/>
          <w:b/>
          <w:bCs/>
          <w:i w:val="false"/>
          <w:iCs w:val="false"/>
          <w:sz w:val="22"/>
          <w:szCs w:val="22"/>
        </w:rPr>
        <w:t xml:space="preserve">FL.VIII — The Desire-for-God Law (P1/GII, V).</w:t>
      </w:r>
      <w:r>
        <w:rPr>
          <w:rFonts w:ascii="Arial" w:cs="Arial" w:eastAsia="Arial" w:hAnsi="Arial"/>
          <w:b w:val="false"/>
          <w:bCs w:val="false"/>
          <w:i w:val="false"/>
          <w:iCs w:val="false"/>
          <w:sz w:val="22"/>
          <w:szCs w:val="22"/>
        </w:rPr>
        <w:t xml:space="preserve"> Sustained desire for God produces the participant's increased capacity to receive God; the desire is itself the operational mechanism of the receiving (Ps. 42:1–2; Ps. 63:1; Matt. 5:6).</w:t>
      </w:r>
    </w:p>
    <w:p>
      <w:pPr>
        <w:spacing w:after="160" w:line="300"/>
      </w:pPr>
      <w:r>
        <w:rPr>
          <w:rFonts w:ascii="Arial" w:cs="Arial" w:eastAsia="Arial" w:hAnsi="Arial"/>
          <w:b/>
          <w:bCs/>
          <w:i w:val="false"/>
          <w:iCs w:val="false"/>
          <w:sz w:val="22"/>
          <w:szCs w:val="22"/>
        </w:rPr>
        <w:t xml:space="preserve">FL.IX — The Generosity-Provision Law (P1/GV, V).</w:t>
      </w:r>
      <w:r>
        <w:rPr>
          <w:rFonts w:ascii="Arial" w:cs="Arial" w:eastAsia="Arial" w:hAnsi="Arial"/>
          <w:b w:val="false"/>
          <w:bCs w:val="false"/>
          <w:i w:val="false"/>
          <w:iCs w:val="false"/>
          <w:sz w:val="22"/>
          <w:szCs w:val="22"/>
        </w:rPr>
        <w:t xml:space="preserve"> Generosity with material and relational resources produces provision proportional to the generosity's measure; stinginess produces the inverse proportional withholding (Luke 6:38; 2 Cor. 9:6–11; Prov. 11:24–25).</w:t>
      </w:r>
    </w:p>
    <w:p>
      <w:pPr>
        <w:spacing w:after="160" w:line="300"/>
      </w:pPr>
      <w:r>
        <w:rPr>
          <w:rFonts w:ascii="Arial" w:cs="Arial" w:eastAsia="Arial" w:hAnsi="Arial"/>
          <w:b/>
          <w:bCs/>
          <w:i w:val="false"/>
          <w:iCs w:val="false"/>
          <w:sz w:val="22"/>
          <w:szCs w:val="22"/>
        </w:rPr>
        <w:t xml:space="preserve">FL.X — The Faith-Sight Law (P0/GIV, V).</w:t>
      </w:r>
      <w:r>
        <w:rPr>
          <w:rFonts w:ascii="Arial" w:cs="Arial" w:eastAsia="Arial" w:hAnsi="Arial"/>
          <w:b w:val="false"/>
          <w:bCs w:val="false"/>
          <w:i w:val="false"/>
          <w:iCs w:val="false"/>
          <w:sz w:val="22"/>
          <w:szCs w:val="22"/>
        </w:rPr>
        <w:t xml:space="preserve"> Faith is the operational substance of things hoped for and the evidence of things not seen; the participant operates within the unseen through faith's instrumentation (Heb. 11:1, 6; 2 Cor. 5:7; Rom. 1:17).</w:t>
      </w:r>
    </w:p>
    <w:p>
      <w:pPr>
        <w:spacing w:after="160" w:line="300"/>
      </w:pPr>
      <w:r>
        <w:rPr>
          <w:rFonts w:ascii="Arial" w:cs="Arial" w:eastAsia="Arial" w:hAnsi="Arial"/>
          <w:b/>
          <w:bCs/>
          <w:i w:val="false"/>
          <w:iCs w:val="false"/>
          <w:sz w:val="22"/>
          <w:szCs w:val="22"/>
        </w:rPr>
        <w:t xml:space="preserve">FL.XI — The Renewal-of-Mind Transformation Law (P1/GIV, V).</w:t>
      </w:r>
      <w:r>
        <w:rPr>
          <w:rFonts w:ascii="Arial" w:cs="Arial" w:eastAsia="Arial" w:hAnsi="Arial"/>
          <w:b w:val="false"/>
          <w:bCs w:val="false"/>
          <w:i w:val="false"/>
          <w:iCs w:val="false"/>
          <w:sz w:val="22"/>
          <w:szCs w:val="22"/>
        </w:rPr>
        <w:t xml:space="preserve"> Renewal of the mind produces transformation of the participant's pattern-of-life; the mind's renewal is the operational mechanism of the conformity question (Rom. 12:2; Eph. 4:23; Col. 3:10).</w:t>
      </w:r>
    </w:p>
    <w:p>
      <w:pPr>
        <w:spacing w:after="160" w:line="300"/>
      </w:pPr>
      <w:r>
        <w:rPr>
          <w:rFonts w:ascii="Arial" w:cs="Arial" w:eastAsia="Arial" w:hAnsi="Arial"/>
          <w:b/>
          <w:bCs/>
          <w:i w:val="false"/>
          <w:iCs w:val="false"/>
          <w:sz w:val="22"/>
          <w:szCs w:val="22"/>
        </w:rPr>
        <w:t xml:space="preserve">FL.XII — The Honor-Authority Flourishing Law (P2/GV, H).</w:t>
      </w:r>
      <w:r>
        <w:rPr>
          <w:rFonts w:ascii="Arial" w:cs="Arial" w:eastAsia="Arial" w:hAnsi="Arial"/>
          <w:b w:val="false"/>
          <w:bCs w:val="false"/>
          <w:i w:val="false"/>
          <w:iCs w:val="false"/>
          <w:sz w:val="22"/>
          <w:szCs w:val="22"/>
        </w:rPr>
        <w:t xml:space="preserve"> Honor of legitimate authority produces flourishing in the honor-er and in the relational unit; dishonor produces the proportional diminishment (Exod. 20:12; Eph. 6:1–3; Rom. 13:1–7).</w:t>
      </w:r>
    </w:p>
    <w:p>
      <w:pPr>
        <w:spacing w:after="160" w:line="300"/>
      </w:pPr>
      <w:r>
        <w:rPr>
          <w:rFonts w:ascii="Arial" w:cs="Arial" w:eastAsia="Arial" w:hAnsi="Arial"/>
          <w:b/>
          <w:bCs/>
          <w:i w:val="false"/>
          <w:iCs w:val="false"/>
          <w:sz w:val="22"/>
          <w:szCs w:val="22"/>
        </w:rPr>
        <w:t xml:space="preserve">FL.XIII — The Pure-Heart Vision Law (P1/GII, B, constitutive bidirectional).</w:t>
      </w:r>
      <w:r>
        <w:rPr>
          <w:rFonts w:ascii="Arial" w:cs="Arial" w:eastAsia="Arial" w:hAnsi="Arial"/>
          <w:b w:val="false"/>
          <w:bCs w:val="false"/>
          <w:i w:val="false"/>
          <w:iCs w:val="false"/>
          <w:sz w:val="22"/>
          <w:szCs w:val="22"/>
        </w:rPr>
        <w:t xml:space="preserve"> Purity of heart produces the operational seeing of God that the impure heart is structurally prevented from receiving; the impurity is the obstruction, the purity is the openness (Matt. 5:8; Ps. 24:3–4; 2 Tim. 2:21–22).</w:t>
      </w:r>
    </w:p>
    <w:p>
      <w:pPr>
        <w:spacing w:after="160" w:line="300"/>
      </w:pPr>
      <w:r>
        <w:rPr>
          <w:rFonts w:ascii="Arial" w:cs="Arial" w:eastAsia="Arial" w:hAnsi="Arial"/>
          <w:b/>
          <w:bCs/>
          <w:i w:val="false"/>
          <w:iCs w:val="false"/>
          <w:sz w:val="22"/>
          <w:szCs w:val="22"/>
        </w:rPr>
        <w:t xml:space="preserve">FL.XIV — The Vanity-of-Substitutes Law (P1/GII, B, constitutive bidirectional).</w:t>
      </w:r>
      <w:r>
        <w:rPr>
          <w:rFonts w:ascii="Arial" w:cs="Arial" w:eastAsia="Arial" w:hAnsi="Arial"/>
          <w:b w:val="false"/>
          <w:bCs w:val="false"/>
          <w:i w:val="false"/>
          <w:iCs w:val="false"/>
          <w:sz w:val="22"/>
          <w:szCs w:val="22"/>
        </w:rPr>
        <w:t xml:space="preserve"> Substitutes for God enthroned as Objects of the heart produce the structural emptiness their idol-status guarantees; the emptiness is the operational signature of the substitution (Eccl. 1:2; Jer. 2:13; Ps. 115:4–8).</w:t>
      </w:r>
    </w:p>
    <w:p>
      <w:pPr>
        <w:spacing w:after="160" w:line="300"/>
      </w:pPr>
      <w:r>
        <w:rPr>
          <w:rFonts w:ascii="Arial" w:cs="Arial" w:eastAsia="Arial" w:hAnsi="Arial"/>
          <w:b/>
          <w:bCs/>
          <w:i w:val="false"/>
          <w:iCs w:val="false"/>
          <w:sz w:val="22"/>
          <w:szCs w:val="22"/>
        </w:rPr>
        <w:t xml:space="preserve">FL.XV — The Hardening Law (P0/GI, V).</w:t>
      </w:r>
      <w:r>
        <w:rPr>
          <w:rFonts w:ascii="Arial" w:cs="Arial" w:eastAsia="Arial" w:hAnsi="Arial"/>
          <w:b w:val="false"/>
          <w:bCs w:val="false"/>
          <w:i w:val="false"/>
          <w:iCs w:val="false"/>
          <w:sz w:val="22"/>
          <w:szCs w:val="22"/>
        </w:rPr>
        <w:t xml:space="preserve"> Sustained refusal of God's address produces the heart's operational hardening; the hardening compounds across the period of refusal and produces the structural state in which the address can no longer be heard (Heb. 3:7–15; Rom. 1:18–28; Pharaoh narrative).</w:t>
      </w:r>
    </w:p>
    <w:p>
      <w:pPr>
        <w:spacing w:after="160" w:line="300"/>
      </w:pPr>
      <w:r>
        <w:rPr>
          <w:rFonts w:ascii="Arial" w:cs="Arial" w:eastAsia="Arial" w:hAnsi="Arial"/>
          <w:b/>
          <w:bCs/>
          <w:i w:val="false"/>
          <w:iCs w:val="false"/>
          <w:sz w:val="22"/>
          <w:szCs w:val="22"/>
        </w:rPr>
        <w:t xml:space="preserve">FL.XVI — The Bondage Law (P0/GV, V).</w:t>
      </w:r>
      <w:r>
        <w:rPr>
          <w:rFonts w:ascii="Arial" w:cs="Arial" w:eastAsia="Arial" w:hAnsi="Arial"/>
          <w:b w:val="false"/>
          <w:bCs w:val="false"/>
          <w:i w:val="false"/>
          <w:iCs w:val="false"/>
          <w:sz w:val="22"/>
          <w:szCs w:val="22"/>
        </w:rPr>
        <w:t xml:space="preserve"> Sustained sin produces the participant's operational bondage to the sin; the bondage is the structural state in which the sin's continued practice operates by structural inevitability rather than by ongoing choice (John 8:34; Rom. 6:16; 2 Pet. 2:19).</w:t>
      </w:r>
    </w:p>
    <w:p>
      <w:pPr>
        <w:spacing w:after="160" w:line="300"/>
      </w:pPr>
      <w:r>
        <w:rPr>
          <w:rFonts w:ascii="Arial" w:cs="Arial" w:eastAsia="Arial" w:hAnsi="Arial"/>
          <w:b/>
          <w:bCs/>
          <w:i w:val="false"/>
          <w:iCs w:val="false"/>
          <w:sz w:val="22"/>
          <w:szCs w:val="22"/>
        </w:rPr>
        <w:t xml:space="preserve">FL.XVII — The Substitution-Cascade Law (P4/GII, V; Clearly Taught for operational dynamic, Reasonably Inferred for substrate, constitutive bidirectional paired with FL.XXI).</w:t>
      </w:r>
      <w:r>
        <w:rPr>
          <w:rFonts w:ascii="Arial" w:cs="Arial" w:eastAsia="Arial" w:hAnsi="Arial"/>
          <w:b w:val="false"/>
          <w:bCs w:val="false"/>
          <w:i w:val="false"/>
          <w:iCs w:val="false"/>
          <w:sz w:val="22"/>
          <w:szCs w:val="22"/>
        </w:rPr>
        <w:t xml:space="preserve"> Idolatry in the heart of one generation transmits across generations through the household's implicit-learning channel; the transmission operates by default and requires deliberate dethroning to interrupt (Exod. 20:5–6; Deut. 5:9–10; 2 Kings 17:41).</w:t>
      </w:r>
    </w:p>
    <w:p>
      <w:pPr>
        <w:spacing w:after="160" w:line="300"/>
      </w:pPr>
      <w:r>
        <w:rPr>
          <w:rFonts w:ascii="Arial" w:cs="Arial" w:eastAsia="Arial" w:hAnsi="Arial"/>
          <w:b/>
          <w:bCs/>
          <w:i w:val="false"/>
          <w:iCs w:val="false"/>
          <w:sz w:val="22"/>
          <w:szCs w:val="22"/>
        </w:rPr>
        <w:t xml:space="preserve">FL.XVIII — The Bitter-Root Community Law (P3/GV, H, constitutive bidirectional).</w:t>
      </w:r>
      <w:r>
        <w:rPr>
          <w:rFonts w:ascii="Arial" w:cs="Arial" w:eastAsia="Arial" w:hAnsi="Arial"/>
          <w:b w:val="false"/>
          <w:bCs w:val="false"/>
          <w:i w:val="false"/>
          <w:iCs w:val="false"/>
          <w:sz w:val="22"/>
          <w:szCs w:val="22"/>
        </w:rPr>
        <w:t xml:space="preserve"> Unresolved offense between community members, held over time without the reconciliation work, calcifies into a root of bitterness that spreads through the relational substrate of the community and defiles many; the Matt. 18:15–20 pathway is the prescribed operational corrective that interrupts the metastasis (Heb. 12:14–15; Matt. 18:15–20; Eph. 4:26–27).</w:t>
      </w:r>
    </w:p>
    <w:p>
      <w:pPr>
        <w:spacing w:after="160" w:line="300"/>
      </w:pPr>
      <w:r>
        <w:rPr>
          <w:rFonts w:ascii="Arial" w:cs="Arial" w:eastAsia="Arial" w:hAnsi="Arial"/>
          <w:b/>
          <w:bCs/>
          <w:i w:val="false"/>
          <w:iCs w:val="false"/>
          <w:sz w:val="22"/>
          <w:szCs w:val="22"/>
        </w:rPr>
        <w:t xml:space="preserve">FL.XIX — The Spirit Anointing Transmission Law (P4/GI, V).</w:t>
      </w:r>
      <w:r>
        <w:rPr>
          <w:rFonts w:ascii="Arial" w:cs="Arial" w:eastAsia="Arial" w:hAnsi="Arial"/>
          <w:b w:val="false"/>
          <w:bCs w:val="false"/>
          <w:i w:val="false"/>
          <w:iCs w:val="false"/>
          <w:sz w:val="22"/>
          <w:szCs w:val="22"/>
        </w:rPr>
        <w:t xml:space="preserve"> The Spirit's anointing for ministry passes across generations through deliberate impartation and proximity-based formation; the transmission requires both the transmitting party's deliberate intent and the receiving party's positioned readiness (Num. 27:18–23; 2 Kings 2:9–15; 2 Tim. 1:5–7; 2 Tim. 2:2).</w:t>
      </w:r>
    </w:p>
    <w:p>
      <w:pPr>
        <w:spacing w:after="160" w:line="300"/>
      </w:pPr>
      <w:r>
        <w:rPr>
          <w:rFonts w:ascii="Arial" w:cs="Arial" w:eastAsia="Arial" w:hAnsi="Arial"/>
          <w:b/>
          <w:bCs/>
          <w:i w:val="false"/>
          <w:iCs w:val="false"/>
          <w:sz w:val="22"/>
          <w:szCs w:val="22"/>
        </w:rPr>
        <w:t xml:space="preserve">FL.XX — The Gathered-Body Discernment Law (P3/GI, V).</w:t>
      </w:r>
      <w:r>
        <w:rPr>
          <w:rFonts w:ascii="Arial" w:cs="Arial" w:eastAsia="Arial" w:hAnsi="Arial"/>
          <w:b w:val="false"/>
          <w:bCs w:val="false"/>
          <w:i w:val="false"/>
          <w:iCs w:val="false"/>
          <w:sz w:val="22"/>
          <w:szCs w:val="22"/>
        </w:rPr>
        <w:t xml:space="preserve"> The Holy Spirit speaks distinctively through a gathered body operating in unity and seeking together; the discernment available to the gathered body exceeds what is available to any individual member alone (Acts 13:1–3; Acts 15:1–29; Matt. 18:18–20; 1 Cor. 12:4–11).</w:t>
      </w:r>
    </w:p>
    <w:p>
      <w:pPr>
        <w:spacing w:after="160" w:line="300"/>
      </w:pPr>
      <w:r>
        <w:rPr>
          <w:rFonts w:ascii="Arial" w:cs="Arial" w:eastAsia="Arial" w:hAnsi="Arial"/>
          <w:b/>
          <w:bCs/>
          <w:i w:val="false"/>
          <w:iCs w:val="false"/>
          <w:sz w:val="22"/>
          <w:szCs w:val="22"/>
        </w:rPr>
        <w:t xml:space="preserve">FL.XXI — The Household Formation Law (P4/GII, V, constitutive bidirectional paired with FL.XVII).</w:t>
      </w:r>
      <w:r>
        <w:rPr>
          <w:rFonts w:ascii="Arial" w:cs="Arial" w:eastAsia="Arial" w:hAnsi="Arial"/>
          <w:b w:val="false"/>
          <w:bCs w:val="false"/>
          <w:i w:val="false"/>
          <w:iCs w:val="false"/>
          <w:sz w:val="22"/>
          <w:szCs w:val="22"/>
        </w:rPr>
        <w:t xml:space="preserve"> Faithful covenant-keeping in one generation transmits blessing forward to subsequent generations through deliberate teaching and household formation; the positive transmission requires the deliberate work and does not operate by default (Gen. 12:1–3; Exod. 20:6; Deut. 7:9; 2 Tim. 1:5).</w:t>
      </w:r>
    </w:p>
    <w:p>
      <w:pPr>
        <w:spacing w:after="160" w:line="300"/>
      </w:pPr>
      <w:r>
        <w:rPr>
          <w:rFonts w:ascii="Arial" w:cs="Arial" w:eastAsia="Arial" w:hAnsi="Arial"/>
          <w:b/>
          <w:bCs/>
          <w:i w:val="false"/>
          <w:iCs w:val="false"/>
          <w:sz w:val="22"/>
          <w:szCs w:val="22"/>
        </w:rPr>
        <w:t xml:space="preserve">FL.XXII — The Endurance-Hope Law (P1/GIII, V).</w:t>
      </w:r>
      <w:r>
        <w:rPr>
          <w:rFonts w:ascii="Arial" w:cs="Arial" w:eastAsia="Arial" w:hAnsi="Arial"/>
          <w:b w:val="false"/>
          <w:bCs w:val="false"/>
          <w:i w:val="false"/>
          <w:iCs w:val="false"/>
          <w:sz w:val="22"/>
          <w:szCs w:val="22"/>
        </w:rPr>
        <w:t xml:space="preserve"> Sustained endurance through trial under God-ward orientation produces character that grounds hope, with the trajectory operating as a causal sequence — suffering produces endurance, endurance produces character, character produces hope — and the hope produced does not put the participant to shame because its ground is the soul's history with God under the trial just survived (Rom. 5:3–5; Jas. 1:2–4; 1 Pet. 1:6–7; Heb. 12:1–11).</w:t>
      </w:r>
    </w:p>
    <w:p>
      <w:pPr>
        <w:spacing w:after="160" w:line="300"/>
      </w:pPr>
      <w:r>
        <w:rPr>
          <w:rFonts w:ascii="Arial" w:cs="Arial" w:eastAsia="Arial" w:hAnsi="Arial"/>
          <w:b/>
          <w:bCs/>
          <w:i w:val="false"/>
          <w:iCs w:val="false"/>
          <w:sz w:val="22"/>
          <w:szCs w:val="22"/>
        </w:rPr>
        <w:t xml:space="preserve">FL.XXIII — The Sabbath Rest Law (P0/GVI, V; Band 3 admission).</w:t>
      </w:r>
      <w:r>
        <w:rPr>
          <w:rFonts w:ascii="Arial" w:cs="Arial" w:eastAsia="Arial" w:hAnsi="Arial"/>
          <w:b w:val="false"/>
          <w:bCs w:val="false"/>
          <w:i w:val="false"/>
          <w:iCs w:val="false"/>
          <w:sz w:val="22"/>
          <w:szCs w:val="22"/>
        </w:rPr>
        <w:t xml:space="preserve"> Structured cessation from production-work in regular rhythm, oriented toward trust in God's provision and the receiving of formation material that productive activity displaces, produces sustainability and flourishing in the worker and the relational unit; the absence produces compounding diminishment at multiple scales (Gen. 2:2–3; Exod. 20:8–11; Mark 2:23–28; Heb. 4:1–11).</w:t>
      </w:r>
    </w:p>
    <w:p>
      <w:pPr>
        <w:spacing w:after="160" w:line="300"/>
      </w:pPr>
      <w:r>
        <w:rPr>
          <w:rFonts w:ascii="Arial" w:cs="Arial" w:eastAsia="Arial" w:hAnsi="Arial"/>
          <w:b/>
          <w:bCs/>
          <w:i w:val="false"/>
          <w:iCs w:val="false"/>
          <w:sz w:val="22"/>
          <w:szCs w:val="22"/>
        </w:rPr>
        <w:t xml:space="preserve">FL.XXIV — The Confession-in-Community Law (P3/GV, B).</w:t>
      </w:r>
      <w:r>
        <w:rPr>
          <w:rFonts w:ascii="Arial" w:cs="Arial" w:eastAsia="Arial" w:hAnsi="Arial"/>
          <w:b w:val="false"/>
          <w:bCs w:val="false"/>
          <w:i w:val="false"/>
          <w:iCs w:val="false"/>
          <w:sz w:val="22"/>
          <w:szCs w:val="22"/>
        </w:rPr>
        <w:t xml:space="preserve"> Spoken confession of sin and brokenness in the presence of trusted community members produces healing of the inward-and-outward kinds that solitary confession does not produce; the presence-of-witnesses is the operational mechanism by which the participant's secret interior reality becomes integrated into her external account (Jas. 5:16; Prov. 28:13; 1 John 1:9; Ps. 32:3–5; Acts 19:18–20).</w:t>
      </w:r>
    </w:p>
    <w:p>
      <w:pPr>
        <w:spacing w:after="160" w:line="300"/>
      </w:pPr>
      <w:r>
        <w:rPr>
          <w:rFonts w:ascii="Arial" w:cs="Arial" w:eastAsia="Arial" w:hAnsi="Arial"/>
          <w:b/>
          <w:bCs/>
          <w:i w:val="false"/>
          <w:iCs w:val="false"/>
          <w:sz w:val="22"/>
          <w:szCs w:val="22"/>
        </w:rPr>
        <w:t xml:space="preserve">FL.XXV — The Restoration-of-the-Erring Law (P3/GV, H).</w:t>
      </w:r>
      <w:r>
        <w:rPr>
          <w:rFonts w:ascii="Arial" w:cs="Arial" w:eastAsia="Arial" w:hAnsi="Arial"/>
          <w:b w:val="false"/>
          <w:bCs w:val="false"/>
          <w:i w:val="false"/>
          <w:iCs w:val="false"/>
          <w:sz w:val="22"/>
          <w:szCs w:val="22"/>
        </w:rPr>
        <w:t xml:space="preserve"> Active pursuit of the wandering or erring brother or sister by spiritually mature members of the community, conducted in a spirit of gentleness and with attentiveness to the pursuer's own susceptibility, restores the erring participant to communion and saves the participant from the trajectory the wandering had set (Gal. 6:1; Jas. 5:19–20; Matt. 18:12–14; Luke 15:1–32; 2 Cor. 2:5–11).</w:t>
      </w:r>
    </w:p>
    <w:p>
      <w:pPr>
        <w:spacing w:after="160" w:line="300"/>
      </w:pPr>
      <w:r>
        <w:rPr>
          <w:rFonts w:ascii="Arial" w:cs="Arial" w:eastAsia="Arial" w:hAnsi="Arial"/>
          <w:b/>
          <w:bCs/>
          <w:i w:val="false"/>
          <w:iCs w:val="false"/>
          <w:sz w:val="22"/>
          <w:szCs w:val="22"/>
        </w:rPr>
        <w:t xml:space="preserve">FL.XXVI — The Doctrinal Calcification Law (P4/GIV, V).</w:t>
      </w:r>
      <w:r>
        <w:rPr>
          <w:rFonts w:ascii="Arial" w:cs="Arial" w:eastAsia="Arial" w:hAnsi="Arial"/>
          <w:b w:val="false"/>
          <w:bCs w:val="false"/>
          <w:i w:val="false"/>
          <w:iCs w:val="false"/>
          <w:sz w:val="22"/>
          <w:szCs w:val="22"/>
        </w:rPr>
        <w:t xml:space="preserve"> Doctrinal traditions transmitted across generations without the disciplines of return-to-scripture and active community testing calcify into operational substitutes for the truth they were originally intended to preserve; the community's operational reception of God's address is then structured by the calcified tradition rather than by the scriptural witness itself (Mark 7:8–13; Col. 2:8; 2 Tim. 4:3–4; 2 Cor. 11:3–4; Jude 3; Isa. 29:13).</w:t>
      </w:r>
    </w:p>
    <w:p>
      <w:pPr>
        <w:spacing w:after="160" w:line="300"/>
      </w:pPr>
      <w:r>
        <w:rPr>
          <w:rFonts w:ascii="Arial" w:cs="Arial" w:eastAsia="Arial" w:hAnsi="Arial"/>
          <w:b/>
          <w:bCs/>
          <w:i w:val="false"/>
          <w:iCs w:val="false"/>
          <w:sz w:val="22"/>
          <w:szCs w:val="22"/>
        </w:rPr>
        <w:t xml:space="preserve">FL.XXVII — The Thick Practice Transmission Law (P4/GV, V).</w:t>
      </w:r>
      <w:r>
        <w:rPr>
          <w:rFonts w:ascii="Arial" w:cs="Arial" w:eastAsia="Arial" w:hAnsi="Arial"/>
          <w:b w:val="false"/>
          <w:bCs w:val="false"/>
          <w:i w:val="false"/>
          <w:iCs w:val="false"/>
          <w:sz w:val="22"/>
          <w:szCs w:val="22"/>
        </w:rPr>
        <w:t xml:space="preserve"> Embedded practices conducted in regular rhythm across generations — sabbath observance, passover, baptism, eucharist, sustained corporate prayer, sustained corporate Scripture reading, catechetical cycles, seasonal liturgical observances — operate as transmission vehicles for the substance that deliberate teaching alone cannot convey; the practices encode the substance in embodied form, and the substance is received across generations through the participant's repeated participation in the practice's structural form across the formative years (Deut. 6:4–9; Exod. 12; Josh. 4; 1 Cor. 11:23–26; Acts 2:42–47; Ps. 78; 2 Tim. 3:14–17). </w:t>
      </w:r>
      <w:r>
        <w:rPr>
          <w:rFonts w:ascii="Arial" w:cs="Arial" w:eastAsia="Arial" w:hAnsi="Arial"/>
          <w:b w:val="false"/>
          <w:bCs w:val="false"/>
          <w:i/>
          <w:iCs/>
          <w:sz w:val="22"/>
          <w:szCs w:val="22"/>
        </w:rPr>
        <w:t xml:space="preserve">New at v5_6_0_23.</w:t>
      </w:r>
    </w:p>
    <w:p>
      <w:pPr>
        <w:pStyle w:val="Heading2"/>
        <w:spacing w:after="160" w:before="240"/>
      </w:pPr>
      <w:r>
        <w:rPr>
          <w:rFonts w:ascii="Arial" w:cs="Arial" w:eastAsia="Arial" w:hAnsi="Arial"/>
          <w:b/>
          <w:bCs/>
          <w:sz w:val="30"/>
          <w:szCs w:val="30"/>
        </w:rPr>
        <w:t xml:space="preserve">The Floor and the Building</w:t>
      </w:r>
    </w:p>
    <w:p>
      <w:pPr>
        <w:spacing w:after="160" w:line="300"/>
      </w:pPr>
      <w:r>
        <w:rPr>
          <w:rFonts w:ascii="Arial" w:cs="Arial" w:eastAsia="Arial" w:hAnsi="Arial"/>
          <w:b w:val="false"/>
          <w:bCs w:val="false"/>
          <w:i w:val="false"/>
          <w:iCs w:val="false"/>
          <w:sz w:val="22"/>
          <w:szCs w:val="22"/>
        </w:rPr>
        <w:t xml:space="preserve">These twenty-seven laws are the floor. The Explorations that follow build on this floor. If you find yourself disagreeing with any of the twenty-seven as I have stated them, the disagreement is not with me; it is with the broad mainstream of Christian tradition, and the path forward is to engage with the scriptures and the tradition rather than with the present chapter's articulation.</w:t>
      </w:r>
    </w:p>
    <w:p>
      <w:pPr>
        <w:spacing w:after="160" w:line="300"/>
      </w:pPr>
      <w:r>
        <w:rPr>
          <w:rFonts w:ascii="Arial" w:cs="Arial" w:eastAsia="Arial" w:hAnsi="Arial"/>
          <w:b w:val="false"/>
          <w:bCs w:val="false"/>
          <w:i w:val="false"/>
          <w:iCs w:val="false"/>
          <w:sz w:val="22"/>
          <w:szCs w:val="22"/>
        </w:rPr>
        <w:t xml:space="preserve">If you find yourself accepting all twenty-seven but uncertain about how they fit together — about which one operates first, which one is operationally prior to which, where the connections are between the heart-throne dynamics and the desire-for-God dynamics and the substitution-cascade and the doctrinal-calcification and the thick-practice-transmission — then you are in the territory the Vol 5 Periodic Table is built to address. The table is the consolidated organizer that holds all twenty-seven in one frame, with their Period and Group placements making the relational structure visible.</w:t>
      </w:r>
    </w:p>
    <w:p>
      <w:pPr>
        <w:spacing w:after="160" w:line="300"/>
      </w:pPr>
      <w:r>
        <w:rPr>
          <w:rFonts w:ascii="Arial" w:cs="Arial" w:eastAsia="Arial" w:hAnsi="Arial"/>
          <w:b w:val="false"/>
          <w:bCs w:val="false"/>
          <w:i w:val="false"/>
          <w:iCs w:val="false"/>
          <w:sz w:val="22"/>
          <w:szCs w:val="22"/>
        </w:rPr>
        <w:t xml:space="preserve">If you find yourself accepting all twenty-seven and curious about what comes next — about how the catalog might continue to grow, about which territories are still under-articulated, about which questions remain open for community testing — then you are in the territory the Explorations and the Vol 2, 3, 4, and 5 chapters address.</w:t>
      </w:r>
    </w:p>
    <w:p>
      <w:pPr>
        <w:spacing w:after="160" w:line="300"/>
      </w:pPr>
      <w:r>
        <w:rPr>
          <w:rFonts w:ascii="Arial" w:cs="Arial" w:eastAsia="Arial" w:hAnsi="Arial"/>
          <w:b w:val="false"/>
          <w:bCs w:val="false"/>
          <w:i w:val="false"/>
          <w:iCs w:val="false"/>
          <w:sz w:val="22"/>
          <w:szCs w:val="22"/>
        </w:rPr>
        <w:t xml:space="preserve">The twenty-seven are the floor. The rest of the corpus is the building.</w:t>
      </w:r>
    </w:p>
    <w:p>
      <w:pPr>
        <w:pStyle w:val="Heading2"/>
        <w:spacing w:after="160" w:before="240"/>
      </w:pPr>
      <w:r>
        <w:rPr>
          <w:rFonts w:ascii="Arial" w:cs="Arial" w:eastAsia="Arial" w:hAnsi="Arial"/>
          <w:b/>
          <w:bCs/>
          <w:sz w:val="30"/>
          <w:szCs w:val="30"/>
        </w:rPr>
        <w:t xml:space="preserve">Closing Note on v5_6_0_23</w:t>
      </w:r>
    </w:p>
    <w:p>
      <w:pPr>
        <w:spacing w:after="160" w:line="300"/>
      </w:pPr>
      <w:r>
        <w:rPr>
          <w:rFonts w:ascii="Arial" w:cs="Arial" w:eastAsia="Arial" w:hAnsi="Arial"/>
          <w:b w:val="false"/>
          <w:bCs w:val="false"/>
          <w:i w:val="false"/>
          <w:iCs w:val="false"/>
          <w:sz w:val="22"/>
          <w:szCs w:val="22"/>
        </w:rPr>
        <w:t xml:space="preserve">The present revision adds FL.XXVII Thick Practice Transmission Law at P4/GV. The addition closes the second of the three Period 4 Open Unknowns named at v5_6_0_5; one Open Unknown remains (Generational Nested Structure Law at P4/GVI, anticipated for v5_6_0_10). FL.XXVII operates by a distinct mechanism from the catalog's other generational-scale transmission laws — the practice's structural form as the vehicle of the substance, with the participant's repeated participation across the formative years as the operational means of the substance's reception — and the Vol 5 chapter at v5_6_0_9 articulates the law's structural relationships with FL.XVII (implicit-learning channel), FL.XIX (deliberate impartation), FL.XXI (deliberate teaching), and FL.XXVI (doctrinal tradition).</w:t>
      </w:r>
    </w:p>
    <w:p>
      <w:pPr>
        <w:spacing w:after="160" w:line="300"/>
      </w:pPr>
      <w:r>
        <w:rPr>
          <w:rFonts w:ascii="Arial" w:cs="Arial" w:eastAsia="Arial" w:hAnsi="Arial"/>
          <w:b w:val="false"/>
          <w:bCs w:val="false"/>
          <w:i w:val="false"/>
          <w:iCs w:val="false"/>
          <w:sz w:val="22"/>
          <w:szCs w:val="22"/>
        </w:rPr>
        <w:t xml:space="preserve">The chapter's title moves from "Twenty-Six" to "Twenty-Seven" with this revision, and the summary table is extended accordingly. The Foundational tier now stands at twenty-seven laws, with one Period 4 Open Unknown remaining for closure at v5_6_0_10. The architecture established at v5_6_0_5 (two structural axes with Mirror discipline at the entry level) remains stable under the expansion.</w:t>
      </w:r>
    </w:p>
    <w:p>
      <w:r>
        <w:br w:type="page"/>
      </w:r>
    </w:p>
    <w:p>
      <w:pPr>
        <w:spacing w:after="240" w:before="1440"/>
        <w:jc w:val="center"/>
      </w:pPr>
      <w:r>
        <w:rPr>
          <w:rFonts w:ascii="Arial" w:cs="Arial" w:eastAsia="Arial" w:hAnsi="Arial"/>
          <w:b/>
          <w:bCs/>
          <w:sz w:val="40"/>
          <w:szCs w:val="40"/>
        </w:rPr>
        <w:t xml:space="preserve">Section C</w:t>
      </w:r>
    </w:p>
    <w:p>
      <w:pPr>
        <w:spacing w:after="720"/>
        <w:jc w:val="center"/>
      </w:pPr>
      <w:r>
        <w:rPr>
          <w:rFonts w:ascii="Arial" w:cs="Arial" w:eastAsia="Arial" w:hAnsi="Arial"/>
          <w:i/>
          <w:iCs/>
          <w:sz w:val="26"/>
          <w:szCs w:val="26"/>
        </w:rPr>
        <w:t xml:space="preserve">Vol 5 PT Chapter Targeted Edits (v5_6_0_9)</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Vol 5 Periodic Table Chapter — v5_6_0_9 Targeted Edits</w:t>
      </w:r>
    </w:p>
    <w:p>
      <w:pPr>
        <w:spacing w:after="160" w:line="300"/>
      </w:pPr>
      <w:r>
        <w:rPr>
          <w:rFonts w:ascii="Arial" w:cs="Arial" w:eastAsia="Arial" w:hAnsi="Arial"/>
          <w:b w:val="false"/>
          <w:bCs w:val="false"/>
          <w:i w:val="false"/>
          <w:iCs w:val="false"/>
          <w:sz w:val="22"/>
          <w:szCs w:val="22"/>
        </w:rPr>
        <w:t xml:space="preserve">The v5_6_0_9 revision applies a focused, smaller set of edits to the v5_6_0_8 Periodic Table chapter. The revision adds one new Foundational Law (FL.XXVII Thick Practice Transmission at P4/GV), closes the second of the three remaining Period 4 Open Unknowns, and applies localized updates to reflect the new entry. The chapter's overall structure, the Six Group Families section, the Six Priority Open Unknowns section (now down to one), the Classical Doctrine section, the Third-Axis Test and Mirror Discipline section, and the Community-Relational Substrate sub-section at P3/GV all remain stable under the revision. This file specifies the targeted edits.</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1 — Opening paragraph naming the revision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paragraph naming the v5_6_0_8 revision in the chapter's opening section.</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Insert an additional paragraph immediately after the v5_6_0_8 paragraph.</w:t>
      </w:r>
    </w:p>
    <w:p>
      <w:pPr>
        <w:spacing w:after="160" w:line="300"/>
      </w:pPr>
      <w:r>
        <w:rPr>
          <w:rFonts w:ascii="Arial" w:cs="Arial" w:eastAsia="Arial" w:hAnsi="Arial"/>
          <w:b/>
          <w:bCs/>
          <w:i w:val="false"/>
          <w:iCs w:val="false"/>
          <w:sz w:val="22"/>
          <w:szCs w:val="22"/>
        </w:rPr>
        <w:t xml:space="preserve">New paragraph:</w:t>
      </w:r>
    </w:p>
    <w:p>
      <w:pPr>
        <w:spacing w:after="160" w:line="300"/>
      </w:pPr>
      <w:r>
        <w:rPr>
          <w:rFonts w:ascii="Arial" w:cs="Arial" w:eastAsia="Arial" w:hAnsi="Arial"/>
          <w:b w:val="false"/>
          <w:bCs w:val="false"/>
          <w:i w:val="false"/>
          <w:iCs w:val="false"/>
          <w:sz w:val="22"/>
          <w:szCs w:val="22"/>
        </w:rPr>
        <w:t xml:space="preserve">Vol 5 v5_6_0_9 (the present revision) extends the v5_6_0_8 expansion by adding FL.XXVII Thick Practice Transmission Law at P4/GV (Generational / Body &amp; Action), closing the second of the three Period 4 Open Unknowns named at v5_6_0_5. The Thick Practice Transmission Law operates by a distinct mechanism from the catalog's other generational-scale transmission laws — the embedded practice's structural form as the vehicle of the substance, with the participant's repeated participation across the formative years as the operational means of the substance's reception. The chapter holds Mirror statement form per the v5_6_0_8 working judgment, with 2 Tim. 3:5's form-without-power dynamic as the canonical idol-ward case. One Period 4 Open Unknown remains: Generational Nested Structure Law at P4/GVI (anticipated for v5_6_0_10, alongside the dedicated "What the Completed Period 4 Row Reveals" sub-section the v5_6_0_8 Q3 approval named).</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2 — Headline counts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table currently holds 42 analyzed laws" (in the headline-counts paragraph at the chapter's opening).</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Replace with the updated version.</w:t>
      </w:r>
    </w:p>
    <w:p>
      <w:pPr>
        <w:spacing w:after="160" w:line="300"/>
      </w:pPr>
      <w:r>
        <w:rPr>
          <w:rFonts w:ascii="Arial" w:cs="Arial" w:eastAsia="Arial" w:hAnsi="Arial"/>
          <w:b/>
          <w:bCs/>
          <w:i w:val="false"/>
          <w:iCs w:val="false"/>
          <w:sz w:val="22"/>
          <w:szCs w:val="22"/>
        </w:rPr>
        <w:t xml:space="preserve">Replacement paragraph:</w:t>
      </w:r>
    </w:p>
    <w:p>
      <w:pPr>
        <w:spacing w:after="160" w:line="300"/>
      </w:pPr>
      <w:r>
        <w:rPr>
          <w:rFonts w:ascii="Arial" w:cs="Arial" w:eastAsia="Arial" w:hAnsi="Arial"/>
          <w:b w:val="false"/>
          <w:bCs w:val="false"/>
          <w:i w:val="false"/>
          <w:iCs w:val="false"/>
          <w:sz w:val="22"/>
          <w:szCs w:val="22"/>
        </w:rPr>
        <w:t xml:space="preserve">The table currently holds 43 analyzed laws drawn from across the three primary volumes and the associated formation documents, including 27 Foundational Laws of wide consent (FL.I–XXVII), 9 speculative extensions marked with ◆ (unchanged from v5_6_0_8), 1 open unknown marked [ OPEN UNKNOWN ] at Period 4 (down from 2 at v5_6_0_8 — the Thick Practice Transmission cell at P4/GV is closed by the present revision; the Generational Nested Structure Law at P4/GVI remains the only Period 4 Open Unknown), 1 anomaly (V2.Exp10 Skill Development at P3/GVI), and 6 forward-references to Volume 3's field-theoretic appendix. Confidence is expressed in qualitative tiers, not statistical probabilities. The three tiers Vol 1 defines — Clearly Taught, Reasonably Inferred, and Speculative — do the actual epistemic work; see Vol 1's tier description for the full definitions. Volume 1 v5_6_0_23 adds one new Foundational Law since v5_6_0_22 (FL.XXVII Thick Practice Transmission Law), and the table is synced to current Vol 1 numbering as of this volume's v5_6_0_9.</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3 — Slim Format table row addition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slim-format table's P4 row.</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Add </w:t>
      </w:r>
      <w:r>
        <w:rPr>
          <w:rFonts w:ascii="Arial" w:cs="Arial" w:eastAsia="Arial" w:hAnsi="Arial"/>
          <w:b/>
          <w:bCs/>
          <w:i w:val="false"/>
          <w:iCs w:val="false"/>
          <w:sz w:val="22"/>
          <w:szCs w:val="22"/>
        </w:rPr>
        <w:t xml:space="preserve">FL.XXVII</w:t>
      </w:r>
      <w:r>
        <w:rPr>
          <w:rFonts w:ascii="Arial" w:cs="Arial" w:eastAsia="Arial" w:hAnsi="Arial"/>
          <w:b w:val="false"/>
          <w:bCs w:val="false"/>
          <w:i w:val="false"/>
          <w:iCs w:val="false"/>
          <w:sz w:val="22"/>
          <w:szCs w:val="22"/>
        </w:rPr>
        <w:t xml:space="preserve"> to the Group V cell of the P4 row.</w:t>
      </w:r>
    </w:p>
    <w:p>
      <w:pPr>
        <w:spacing w:after="160" w:line="300"/>
      </w:pPr>
      <w:r>
        <w:rPr>
          <w:rFonts w:ascii="Arial" w:cs="Arial" w:eastAsia="Arial" w:hAnsi="Arial"/>
          <w:b w:val="false"/>
          <w:bCs w:val="false"/>
          <w:i w:val="false"/>
          <w:iCs w:val="false"/>
          <w:sz w:val="22"/>
          <w:szCs w:val="22"/>
        </w:rPr>
        <w:t xml:space="preserve">The P4 row at Group V now reads:</w:t>
      </w:r>
    </w:p>
    <w:p>
      <w:pPr>
        <w:pBdr>
          <w:left w:val="single" w:color="CCCCCC" w:sz="12" w:space="12"/>
        </w:pBdr>
        <w:spacing w:after="160" w:before="120" w:line="300"/>
        <w:ind w:left="720" w:right="720"/>
      </w:pPr>
      <w:r>
        <w:rPr>
          <w:rFonts w:ascii="Arial" w:cs="Arial" w:eastAsia="Arial" w:hAnsi="Arial"/>
          <w:b/>
          <w:bCs/>
          <w:i w:val="false"/>
          <w:iCs w:val="false"/>
          <w:sz w:val="22"/>
          <w:szCs w:val="22"/>
        </w:rPr>
        <w:t xml:space="preserve">P4 / GV (Body &amp; Action):</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FL.XXVII Thick Practice Transmission Law</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(new at v5_6_0_9 — closes the second of three Period 4 Open Unknowns)</w:t>
      </w:r>
    </w:p>
    <w:p>
      <w:pPr>
        <w:spacing w:after="160" w:line="300"/>
      </w:pPr>
      <w:r>
        <w:rPr>
          <w:rFonts w:ascii="Arial" w:cs="Arial" w:eastAsia="Arial" w:hAnsi="Arial"/>
          <w:b w:val="false"/>
          <w:bCs w:val="false"/>
          <w:i w:val="false"/>
          <w:iCs w:val="false"/>
          <w:sz w:val="22"/>
          <w:szCs w:val="22"/>
        </w:rPr>
        <w:t xml:space="preserve">The Period 4 row now holds five Foundational Laws across the six Groups (FL.XIX at GI Spirit, FL.XVII and FL.XXI at GII Heart, FL.XXVI at GIV Mind/Will, FL.XXVII at GV Body &amp; Action). One Group remains empty (GIII Soul, no entries) and one remains Open Unknown (GVI Structural Frame, the Generational Nested Structure Law's anticipated cell). The row's structural completion at v5_6_0_10 will produce six Foundational Laws across the six Groups with the GIII Soul cell remaining empty by design — the generational-scale soul-integration territory is operationally distinct from the household-and-practice transmission dynamics the other Period 4 entries name, and the catalog's working judgment is that the GIII Soul cell at Period 4 is genuinely under-populated rather than holding a yet-to-be-articulated Foundational Law. The "What the Completed Period 4 Row Reveals" sub-section anticipated for v5_6_0_10 will articulate the row's structural pattern, including the GIII Soul question.</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4 — Reference List entry at P4/GV</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reference list at P4.</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Insert the new entry for FL.XXVII.</w:t>
      </w:r>
    </w:p>
    <w:p>
      <w:pPr>
        <w:pStyle w:val="Heading3"/>
        <w:spacing w:after="160" w:before="240"/>
      </w:pPr>
      <w:r>
        <w:rPr>
          <w:rFonts w:ascii="Arial" w:cs="Arial" w:eastAsia="Arial" w:hAnsi="Arial"/>
          <w:b/>
          <w:bCs/>
          <w:sz w:val="26"/>
          <w:szCs w:val="26"/>
        </w:rPr>
        <w:t xml:space="preserve">P4/GV · Foundational — FL.XXVII Thick Practice Transmission Law (V), Clearly Taught</w:t>
      </w:r>
    </w:p>
    <w:p>
      <w:pPr>
        <w:spacing w:after="160" w:line="300"/>
      </w:pPr>
      <w:r>
        <w:rPr>
          <w:rFonts w:ascii="Arial" w:cs="Arial" w:eastAsia="Arial" w:hAnsi="Arial"/>
          <w:b w:val="false"/>
          <w:bCs w:val="false"/>
          <w:i w:val="false"/>
          <w:iCs w:val="false"/>
          <w:sz w:val="22"/>
          <w:szCs w:val="22"/>
        </w:rPr>
        <w:t xml:space="preserve">Embedded practices conducted in regular rhythm across generations — sabbath observance, passover and the seder, baptism and its rememberings, the eucharist and the Lord's table, sustained corporate prayer, sustained corporate Scripture reading, the catechetical cycles, the seasonal liturgical observances — operate as transmission vehicles for the substance of the faith that deliberate teaching alone cannot convey; the practices encode the substance in embodied form, the substance is received across generations through the participant's repeated participation in the practice's structural form across the formative years, and the practice's regular rhythm is constitutive of the mechanism. Five-or-more-biblical-author cross-Testament support: Moses across Deuteronomy and Exodus (Shema with practice-embedded instruction at Deut. 6:4–9; Passover institution at Exod. 12); the Joshua writer at Josh. 4 (memorial stones); Paul across 1 Corinthians and 2 Timothy (eucharistic institution at 1 Cor. 11:23–26; Timothy's formation at 2 Tim. 3:14–17 with the household practices of Lois and Eunice at 2 Tim. 1:5); Luke at Acts 2:42–47 (the early church's four embedded practices — apostles' teaching, fellowship, breaking of bread, prayers); the Psalmist at Ps. 78 (the general principle of inter-generational transmission). The broader OT cultic-feast cycle (Lev. 23; Lev. 25; Deut. 16) and the NT instituted practices (baptism at Matt. 28:19–20; corporate prayer patterns; Scripture-reading patterns; apostolic-tradition practices at 1 Cor. 11:2 and 2 Thess. 2:15) establish the law's operational scope across the canonical witness.</w:t>
      </w:r>
    </w:p>
    <w:p>
      <w:pPr>
        <w:spacing w:after="160" w:line="300"/>
      </w:pPr>
      <w:r>
        <w:rPr>
          <w:rFonts w:ascii="Arial" w:cs="Arial" w:eastAsia="Arial" w:hAnsi="Arial"/>
          <w:b w:val="false"/>
          <w:bCs w:val="false"/>
          <w:i w:val="false"/>
          <w:iCs w:val="false"/>
          <w:sz w:val="22"/>
          <w:szCs w:val="22"/>
        </w:rPr>
        <w:t xml:space="preserve">Closes the second of the three Period 4 Open Unknowns named at v5_6_0_5. Operates by a distinct mechanism from the catalog's other generational-scale transmission laws: FL.XXI Household Formation operates by deliberate teaching; FL.XVII Substitution-Cascade operates by implicit-learning channel; FL.XIX Spirit Anointing Transmission operates by deliberate impartation and proximity-based formation; FL.XXVI Doctrinal Calcification operates at the cognitive-and-volitional-tradition dimension. The present law operates by the practice's structural form as the vehicle of the substance, with the substance encoded in embodied articulation and received through the participant's repeated participation in the practice across the formative years. The mechanism is distinct from all four of the other Period 4 mechanisms and constitutes the catalog's identification of the embedded-practice transmission dimension as a structurally separate operational mode at the generational scale.</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Thick Practice Transmission Law's idol-ward face is the form-without-power dynamic — the continued performance of the practice with the substance hollowed out, with the practice's structural form persisting while the operational substance has departed. 2 Tim. 3:5 names the canonical scriptural articulation: "having the appearance of godliness, but denying its power. Avoid such people." The Pharisaic practice-forms in the Markan and Matthean controversies (Mark 7:1–13's tradition of the elders; Matt. 23:23's tithing of mint and dill and cumin while neglecting the weightier matters of the law) are the canonical NT cases of the form-without-power dynamic. The dynamic operates by the practice's structural persistence outlasting the substance's operational presence; the form continues while the power departs, and the participants' continued participation in the form-without-power produces operational consequences that are inverse to the law's positive direction — the practice no longer transmits the substance, the practice's structural persistence becomes a vehicle for substituted substances (the appearance of godliness, the demonstration of religious correctness, the social-and-cultural identity-marker function), and the participants are not formed by the substance the practice was originally designed to transmit. The recovery of the practice's positive operation requires the recovery of the substance the practice encodes, with the practice's structural form held intact as the operational vehicle within which the substance is to be re-recovered.</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5 — Six Group Families section: brief addition at Group V treatment</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Group V treatment in the Six Group Families section.</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Append a sentence to the Group V paragraph naming the v5_6_0_9 addition.</w:t>
      </w:r>
    </w:p>
    <w:p>
      <w:pPr>
        <w:spacing w:after="160" w:line="300"/>
      </w:pPr>
      <w:r>
        <w:rPr>
          <w:rFonts w:ascii="Arial" w:cs="Arial" w:eastAsia="Arial" w:hAnsi="Arial"/>
          <w:b/>
          <w:bCs/>
          <w:i w:val="false"/>
          <w:iCs w:val="false"/>
          <w:sz w:val="22"/>
          <w:szCs w:val="22"/>
        </w:rPr>
        <w:t xml:space="preserve">New sentence (appended):</w:t>
      </w:r>
    </w:p>
    <w:p>
      <w:pPr>
        <w:spacing w:after="160" w:line="300"/>
      </w:pPr>
      <w:r>
        <w:rPr>
          <w:rFonts w:ascii="Arial" w:cs="Arial" w:eastAsia="Arial" w:hAnsi="Arial"/>
          <w:b w:val="false"/>
          <w:bCs w:val="false"/>
          <w:i w:val="false"/>
          <w:iCs w:val="false"/>
          <w:sz w:val="22"/>
          <w:szCs w:val="22"/>
        </w:rPr>
        <w:t xml:space="preserve">The Group V column at Period 4 (Generational) now holds FL.XXVII Thick Practice Transmission Law as the canonical generational-scale embodied-practice dimension, alongside FL.II Confession-Restoration at P1/GV (individual-scale), FL.IX Generosity-Provision at P1/GV (individual-scale generosity), FL.XVI Bondage at P0/GV (scale-invariant), FL.XVIII Bitter-Root Community Law and FL.XXIV Confession-in-Community Law and FL.XXV Restoration-of-the-Erring Law at P3/GV (community-scale triplet), and the various other Group V entries across the scales. The Group V column is the catalog's most densely-populated column across the table; the embodied-practice dimension is operationally rich at every scale, and the column's density reflects this richness.</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6 — Six Priority Open Unknowns section: update count</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Six Priority Open Unknowns section's introductory paragraph naming the count of Open Unknowns.</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Update to reflect the one remaining Period 4 Open Unknown (down from two at v5_6_0_8).</w:t>
      </w:r>
    </w:p>
    <w:p>
      <w:pPr>
        <w:spacing w:after="160" w:line="300"/>
      </w:pPr>
      <w:r>
        <w:rPr>
          <w:rFonts w:ascii="Arial" w:cs="Arial" w:eastAsia="Arial" w:hAnsi="Arial"/>
          <w:b/>
          <w:bCs/>
          <w:i w:val="false"/>
          <w:iCs w:val="false"/>
          <w:sz w:val="22"/>
          <w:szCs w:val="22"/>
        </w:rPr>
        <w:t xml:space="preserve">Replacement passage:</w:t>
      </w:r>
    </w:p>
    <w:p>
      <w:pPr>
        <w:spacing w:after="160" w:line="300"/>
      </w:pPr>
      <w:r>
        <w:rPr>
          <w:rFonts w:ascii="Arial" w:cs="Arial" w:eastAsia="Arial" w:hAnsi="Arial"/>
          <w:b w:val="false"/>
          <w:bCs w:val="false"/>
          <w:i w:val="false"/>
          <w:iCs w:val="false"/>
          <w:sz w:val="22"/>
          <w:szCs w:val="22"/>
        </w:rPr>
        <w:t xml:space="preserve">The catalog at v5_6_0_9 holds one [ OPEN UNKNOWN ] cell at Period 4: the Generational Nested Structure Law at P4/GVI (Structural Frame). The Open Unknown is anticipated for closure at v5_6_0_10, alongside the dedicated "What the Completed Period 4 Row Reveals" sub-section that will articulate the row's structural pattern. The remaining Open Unknown is the only structurally-named gap in the current Foundational tier; all other Period 4 cells have been closed across the v5_6_0_6 (FL.XIX, FL.XXI) and v5_6_0_8 (FL.XXVI) and v5_6_0_9 (FL.XXVII) revisions.</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7 — Closing Note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"Closing Note on v5_6_0_8" section header.</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Update to "Closing Note on v5_6_0_9" and revise contents.</w:t>
      </w:r>
    </w:p>
    <w:p>
      <w:pPr>
        <w:spacing w:after="160" w:line="300"/>
      </w:pPr>
      <w:r>
        <w:rPr>
          <w:rFonts w:ascii="Arial" w:cs="Arial" w:eastAsia="Arial" w:hAnsi="Arial"/>
          <w:b/>
          <w:bCs/>
          <w:i w:val="false"/>
          <w:iCs w:val="false"/>
          <w:sz w:val="22"/>
          <w:szCs w:val="22"/>
        </w:rPr>
        <w:t xml:space="preserve">Replacement section in full:</w:t>
      </w:r>
    </w:p>
    <w:p>
      <w:pPr>
        <w:pStyle w:val="Heading3"/>
        <w:spacing w:after="160" w:before="240"/>
      </w:pPr>
      <w:r>
        <w:rPr>
          <w:rFonts w:ascii="Arial" w:cs="Arial" w:eastAsia="Arial" w:hAnsi="Arial"/>
          <w:b/>
          <w:bCs/>
          <w:sz w:val="26"/>
          <w:szCs w:val="26"/>
        </w:rPr>
        <w:t xml:space="preserve">Closing Note on v5_6_0_9</w:t>
      </w:r>
    </w:p>
    <w:p>
      <w:pPr>
        <w:spacing w:after="160" w:line="300"/>
      </w:pPr>
      <w:r>
        <w:rPr>
          <w:rFonts w:ascii="Arial" w:cs="Arial" w:eastAsia="Arial" w:hAnsi="Arial"/>
          <w:b w:val="false"/>
          <w:bCs w:val="false"/>
          <w:i w:val="false"/>
          <w:iCs w:val="false"/>
          <w:sz w:val="22"/>
          <w:szCs w:val="22"/>
        </w:rPr>
        <w:t xml:space="preserve">The present revision adds FL.XXVII Thick Practice Transmission Law at P4/GV, closing the second of the three Period 4 Open Unknowns named at v5_6_0_5. The Vol 1 overview chapter is updated to v5_6_0_23 with the title moving from "Twenty-Six" to "Twenty-Seven." The catalog at v5_6_0_9 holds 43 analyzed entries (up from 42), 27 Foundational Laws (up from 26), 9 Speculative ◆ entries (unchanged), 1 remaining Open Unknown at Period 4 (down from 2), 1 anomaly (unchanged), and 6 Vol 3 forward-references (unchanged). The architecture established at v5_6_0_5 remains stable.</w:t>
      </w:r>
    </w:p>
    <w:p>
      <w:pPr>
        <w:spacing w:after="160" w:line="300"/>
      </w:pPr>
      <w:r>
        <w:rPr>
          <w:rFonts w:ascii="Arial" w:cs="Arial" w:eastAsia="Arial" w:hAnsi="Arial"/>
          <w:b w:val="false"/>
          <w:bCs w:val="false"/>
          <w:i w:val="false"/>
          <w:iCs w:val="false"/>
          <w:sz w:val="22"/>
          <w:szCs w:val="22"/>
        </w:rPr>
        <w:t xml:space="preserve">The Thick Practice Transmission Law operates by a distinct mechanism from the catalog's other generational-scale transmission laws — the practice's structural form as the vehicle of the substance — and the chapter articulates its structural relationships with FL.XVII (implicit-learning channel), FL.XIX (deliberate impartation), FL.XXI (deliberate teaching), and FL.XXVI (doctrinal tradition). The five Period 4 entries together cover five distinct transmission mechanisms operating at the generational scale; the structural significance of the multiple-mechanism pattern is anticipated for articulation at v5_6_0_10 in the dedicated "What the Completed Period 4 Row Reveals" sub-section.</w:t>
      </w:r>
    </w:p>
    <w:p>
      <w:pPr>
        <w:spacing w:after="160" w:line="300"/>
      </w:pPr>
      <w:r>
        <w:rPr>
          <w:rFonts w:ascii="Arial" w:cs="Arial" w:eastAsia="Arial" w:hAnsi="Arial"/>
          <w:b w:val="false"/>
          <w:bCs w:val="false"/>
          <w:i w:val="false"/>
          <w:iCs w:val="false"/>
          <w:sz w:val="22"/>
          <w:szCs w:val="22"/>
        </w:rPr>
        <w:t xml:space="preserve">The next revision (v5_6_0_10) is anticipated to close the final Period 4 Open Unknown with the Generational Nested Structure Law at P4/GVI and to include the dedicated "What the Completed Period 4 Row Reveals" sub-section. The revision is also anticipated to revisit the Group V placement question raised at v5_6_0_8 Q2 and held through v5_6_0_9 — examining the cumulative evidence across FL.II (P1/GV), FL.XVI (P0/GV), FL.XVIII / FL.XXIV / FL.XXV (P3/GV triplet), and the present law (P4/GV) to determine whether the Group V designation is operating consistently or whether some adjustments are warranted. The v5_6_0_10 revision is anticipated to be comparable in scope to v5_6_0_7 (one new Foundational Law plus the structural-completion sub-section).</w:t>
      </w:r>
    </w:p>
    <w:p>
      <w:pPr>
        <w:spacing w:after="160" w:line="300"/>
      </w:pPr>
      <w:r>
        <w:rPr>
          <w:rFonts w:ascii="Arial" w:cs="Arial" w:eastAsia="Arial" w:hAnsi="Arial"/>
          <w:b w:val="false"/>
          <w:bCs w:val="false"/>
          <w:i w:val="false"/>
          <w:iCs w:val="false"/>
          <w:sz w:val="22"/>
          <w:szCs w:val="22"/>
        </w:rPr>
        <w:t xml:space="preserve">Subsequent revisions are anticipated to address the Period 3 / Groups III–IV under-population at v5_6_0_11 (community-scale soul-integration; community-scale cognitive dynamics) per the v5_6_0_8 Q4 working judgment, followed by Group VI architectural-framework at middle scales at v5_6_0_12 or v5_6_0_13, and Period 5 sparseness at subsequent revisions. The catalog's expansion trajectory remains the deliberate, conservative pattern the corpus has practiced from the beginning.</w:t>
      </w:r>
    </w:p>
    <w:p>
      <w:r>
        <w:br w:type="page"/>
      </w:r>
    </w:p>
    <w:p>
      <w:pPr>
        <w:spacing w:after="240" w:before="1440"/>
        <w:jc w:val="center"/>
      </w:pPr>
      <w:r>
        <w:rPr>
          <w:rFonts w:ascii="Arial" w:cs="Arial" w:eastAsia="Arial" w:hAnsi="Arial"/>
          <w:b/>
          <w:bCs/>
          <w:sz w:val="40"/>
          <w:szCs w:val="40"/>
        </w:rPr>
        <w:t xml:space="preserve">Section D</w:t>
      </w:r>
    </w:p>
    <w:p>
      <w:pPr>
        <w:spacing w:after="720"/>
        <w:jc w:val="center"/>
      </w:pPr>
      <w:r>
        <w:rPr>
          <w:rFonts w:ascii="Arial" w:cs="Arial" w:eastAsia="Arial" w:hAnsi="Arial"/>
          <w:i/>
          <w:iCs/>
          <w:sz w:val="26"/>
          <w:szCs w:val="26"/>
        </w:rPr>
        <w:t xml:space="preserve">v5_6_0_10 Preview</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Section D — v5_6_0_10 Preview</w:t>
      </w:r>
    </w:p>
    <w:p>
      <w:pPr>
        <w:spacing w:after="160" w:line="300"/>
      </w:pPr>
      <w:r>
        <w:rPr>
          <w:rFonts w:ascii="Arial" w:cs="Arial" w:eastAsia="Arial" w:hAnsi="Arial"/>
          <w:b w:val="false"/>
          <w:bCs w:val="false"/>
          <w:i w:val="false"/>
          <w:iCs w:val="false"/>
          <w:sz w:val="22"/>
          <w:szCs w:val="22"/>
        </w:rPr>
        <w:t xml:space="preserve">The v5_6_0_10 revision is anticipated to be comparable in scope to v5_6_0_7 — one new Foundational Law (Generational Nested Structure Law at P4/GVI) plus the dedicated "What the Completed Period 4 Row Reveals" sub-section the v5_6_0_8 Q3 approval named. The revision closes the final Period 4 Open Unknown and produces the catalog's first fully-completed Period row at the generational scale.</w:t>
      </w:r>
    </w:p>
    <w:p>
      <w:pPr>
        <w:spacing w:after="160" w:line="300"/>
      </w:pPr>
      <w:r>
        <w:rPr>
          <w:rFonts w:ascii="Arial" w:cs="Arial" w:eastAsia="Arial" w:hAnsi="Arial"/>
          <w:b w:val="false"/>
          <w:bCs w:val="false"/>
          <w:i w:val="false"/>
          <w:iCs w:val="false"/>
          <w:sz w:val="22"/>
          <w:szCs w:val="22"/>
        </w:rPr>
        <w:t xml:space="preserve">The Generational Nested Structure Law would name the architectural framework within which the other Period 4 entries operate — the structural envelope of inter-generational formation that holds the deliberate-teaching mechanism (FL.XXI), the implicit-learning channel (FL.XVII), the Spirit-anointing impartation (FL.XIX), the doctrinal-tradition mechanism (FL.XXVI), and the embedded-practice mechanism (FL.XXVII) in a single nested architecture. The law's specific articulation is to be determined at v5_6_0_10 admission; some candidate framings for review at that stage include the nested-formation-envelope framing (the household within the community within the generation within the tradition within the eschatological people of God), the canonical-and-prophetic-and-pastoral nested architecture (the household structures embedded in the community polity embedded in the generational succession), and the Trinitarian generational-structure framing (the architecture's coherence with the Father-Son-Spirit generation-and-procession patterns).</w:t>
      </w:r>
    </w:p>
    <w:p>
      <w:pPr>
        <w:spacing w:after="160" w:line="300"/>
      </w:pPr>
      <w:r>
        <w:rPr>
          <w:rFonts w:ascii="Arial" w:cs="Arial" w:eastAsia="Arial" w:hAnsi="Arial"/>
          <w:b w:val="false"/>
          <w:bCs w:val="false"/>
          <w:i w:val="false"/>
          <w:iCs w:val="false"/>
          <w:sz w:val="22"/>
          <w:szCs w:val="22"/>
        </w:rPr>
        <w:t xml:space="preserve">The "What the Completed Period 4 Row Reveals" sub-section would articulate what the completed row teaches the catalog about generational-scale operation. The candidate observations the v5_6_0_8 Q3 approval anticipated include: (1) the generational scale's asymmetric-default-trajectory feature — FL.XVII Substitution-Cascade and FL.XXVI Doctrinal Calcification operate by default in the negative direction; FL.XXI Household Formation, FL.XIX Spirit Anointing Transmission, and the disciplines that prevent calcification require deliberate work in the positive direction; (2) the multiple distinct transmission mechanisms named across the row — deliberate teaching, implicit-learning channel, Spirit-anointing impartation, embedded practice, doctrinal tradition — and their structural relationships; (3) the structural envelope the Generational Nested Structure Law would name as the architectural framework holding the other mechanisms; (4) the GIII Soul cell question — whether the empty cell is a structural feature of the generational scale (the integrative-internal dimension does not have a distinct generational-scale articulation; the integration happens at lower scales and is then transmitted by the mechanisms the row names) or a genuine under-population to be addressed in subsequent revisions.</w:t>
      </w:r>
    </w:p>
    <w:p>
      <w:pPr>
        <w:spacing w:after="160" w:line="300"/>
      </w:pPr>
      <w:r>
        <w:rPr>
          <w:rFonts w:ascii="Arial" w:cs="Arial" w:eastAsia="Arial" w:hAnsi="Arial"/>
          <w:b w:val="false"/>
          <w:bCs w:val="false"/>
          <w:i w:val="false"/>
          <w:iCs w:val="false"/>
          <w:sz w:val="22"/>
          <w:szCs w:val="22"/>
        </w:rPr>
        <w:t xml:space="preserve">The v5_6_0_10 revision is also anticipated to revisit the Group V placement question that the v5_6_0_8 working judgment held through v5_6_0_9. With the cumulative evidence now available across FL.II (P1/GV), FL.IX (P1/GV), FL.XVI (P0/GV), FL.XVIII / FL.XXIV / FL.XXV (P3/GV triplet), and FL.XXVII (P4/GV), the catalog will have sufficient operational evidence to evaluate whether the Group V designation is operating consistently across the scales or whether some adjustments are warranted. The revisit is a structural-axes review rather than a re-litigation of any specific law's placement; if adjustments are warranted, they would apply across the affected laws together rather than to individual entries.</w:t>
      </w:r>
    </w:p>
    <w:p>
      <w:pPr>
        <w:spacing w:after="160" w:line="300"/>
      </w:pPr>
      <w:r>
        <w:rPr>
          <w:rFonts w:ascii="Arial" w:cs="Arial" w:eastAsia="Arial" w:hAnsi="Arial"/>
          <w:b w:val="false"/>
          <w:bCs w:val="false"/>
          <w:i w:val="false"/>
          <w:iCs w:val="false"/>
          <w:sz w:val="22"/>
          <w:szCs w:val="22"/>
        </w:rPr>
        <w:t xml:space="preserve">The v5_6_0_10 revision is anticipated to require approximately 30–40 pages of Word doc deliverable (one new FL chapter at FL.VIII template length, the Vol 1 overview update, the completed-Period-4-row sub-section and associated PT chapter edits, the Group V placement review, and the structural-completion-celebration closing note). The revision would also mark a transition in the catalog's expansion arc — the conclusion of the Period 4 work that began at v5_6_0_5, with the v5_6_0_11 and subsequent revisions turning to the Period 3 / Groups III–IV under-population and the broader middle-scale territories the v5_6_0_6 expansion pass identified.</w:t>
      </w:r>
    </w:p>
    <w:p>
      <w:r>
        <w:br w:type="page"/>
      </w:r>
    </w:p>
    <w:p>
      <w:pPr>
        <w:spacing w:after="240" w:before="1440"/>
        <w:jc w:val="center"/>
      </w:pPr>
      <w:r>
        <w:rPr>
          <w:rFonts w:ascii="Arial" w:cs="Arial" w:eastAsia="Arial" w:hAnsi="Arial"/>
          <w:b/>
          <w:bCs/>
          <w:sz w:val="40"/>
          <w:szCs w:val="40"/>
        </w:rPr>
        <w:t xml:space="preserve">Section E</w:t>
      </w:r>
    </w:p>
    <w:p>
      <w:pPr>
        <w:spacing w:after="720"/>
        <w:jc w:val="center"/>
      </w:pPr>
      <w:r>
        <w:rPr>
          <w:rFonts w:ascii="Arial" w:cs="Arial" w:eastAsia="Arial" w:hAnsi="Arial"/>
          <w:i/>
          <w:iCs/>
          <w:sz w:val="26"/>
          <w:szCs w:val="26"/>
        </w:rPr>
        <w:t xml:space="preserve">Residual Key Questions for v5_6_0_10</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Section E — Residual Key Questions for v5_6_0_10</w:t>
      </w:r>
    </w:p>
    <w:p>
      <w:pPr>
        <w:spacing w:after="160" w:line="300"/>
      </w:pPr>
      <w:r>
        <w:rPr>
          <w:rFonts w:ascii="Arial" w:cs="Arial" w:eastAsia="Arial" w:hAnsi="Arial"/>
          <w:b w:val="false"/>
          <w:bCs w:val="false"/>
          <w:i w:val="false"/>
          <w:iCs w:val="false"/>
          <w:sz w:val="22"/>
          <w:szCs w:val="22"/>
        </w:rPr>
        <w:t xml:space="preserve">The v5_6_0_9 implementation surfaces a focused set of residual questions for the v5_6_0_10 implementation. The v5_6_0_10 revision is the closing revision of the Period 4 expansion arc that began at v5_6_0_5; the questions below are listed in the order I recommend addressing them, with my own working judgments as starting points.</w:t>
      </w:r>
    </w:p>
    <w:p>
      <w:pPr>
        <w:pStyle w:val="Heading2"/>
        <w:spacing w:after="160" w:before="240"/>
      </w:pPr>
      <w:r>
        <w:rPr>
          <w:rFonts w:ascii="Arial" w:cs="Arial" w:eastAsia="Arial" w:hAnsi="Arial"/>
          <w:b/>
          <w:bCs/>
          <w:sz w:val="30"/>
          <w:szCs w:val="30"/>
        </w:rPr>
        <w:t xml:space="preserve">Q1 — Generational Nested Structure Law: which framing is most operationally precise?</w:t>
      </w:r>
    </w:p>
    <w:p>
      <w:pPr>
        <w:spacing w:after="160" w:line="300"/>
      </w:pPr>
      <w:r>
        <w:rPr>
          <w:rFonts w:ascii="Arial" w:cs="Arial" w:eastAsia="Arial" w:hAnsi="Arial"/>
          <w:b w:val="false"/>
          <w:bCs w:val="false"/>
          <w:i w:val="false"/>
          <w:iCs w:val="false"/>
          <w:sz w:val="22"/>
          <w:szCs w:val="22"/>
        </w:rPr>
        <w:t xml:space="preserve">The Generational Nested Structure Law at P4/GVI is the final Period 4 Open Unknown to close. Three candidate framings warrant consideration at admission:</w:t>
      </w:r>
    </w:p>
    <w:p>
      <w:pPr>
        <w:pStyle w:val="ListParagraph"/>
        <w:numPr>
          <w:ilvl w:val="0"/>
          <w:numId w:val="1"/>
        </w:numPr>
        <w:spacing w:after="80" w:line="280"/>
      </w:pPr>
      <w:r>
        <w:rPr>
          <w:rFonts w:ascii="Arial" w:cs="Arial" w:eastAsia="Arial" w:hAnsi="Arial"/>
          <w:b/>
          <w:bCs/>
          <w:i w:val="false"/>
          <w:iCs w:val="false"/>
          <w:sz w:val="22"/>
          <w:szCs w:val="22"/>
        </w:rPr>
        <w:t xml:space="preserve">Nested-formation-envelope framing.</w:t>
      </w:r>
      <w:r>
        <w:rPr>
          <w:rFonts w:ascii="Arial" w:cs="Arial" w:eastAsia="Arial" w:hAnsi="Arial"/>
          <w:b w:val="false"/>
          <w:bCs w:val="false"/>
          <w:i w:val="false"/>
          <w:iCs w:val="false"/>
          <w:sz w:val="22"/>
          <w:szCs w:val="22"/>
        </w:rPr>
        <w:t xml:space="preserve"> The law names the nested architecture of inter-generational formation: the individual formed within the household, the household embedded in the community, the community embedded in the generation, the generation embedded in the tradition, the tradition embedded in the eschatological people of God. The framing emphasizes the structural envelope's nested character, with each scale operating within the next-larger scale's structure.</w:t>
      </w:r>
    </w:p>
    <w:p>
      <w:pPr>
        <w:pStyle w:val="ListParagraph"/>
        <w:numPr>
          <w:ilvl w:val="0"/>
          <w:numId w:val="1"/>
        </w:numPr>
        <w:spacing w:after="80" w:line="280"/>
      </w:pPr>
      <w:r>
        <w:rPr>
          <w:rFonts w:ascii="Arial" w:cs="Arial" w:eastAsia="Arial" w:hAnsi="Arial"/>
          <w:b/>
          <w:bCs/>
          <w:i w:val="false"/>
          <w:iCs w:val="false"/>
          <w:sz w:val="22"/>
          <w:szCs w:val="22"/>
        </w:rPr>
        <w:t xml:space="preserve">Canonical-and-prophetic-and-pastoral nested architecture.</w:t>
      </w:r>
      <w:r>
        <w:rPr>
          <w:rFonts w:ascii="Arial" w:cs="Arial" w:eastAsia="Arial" w:hAnsi="Arial"/>
          <w:b w:val="false"/>
          <w:bCs w:val="false"/>
          <w:i w:val="false"/>
          <w:iCs w:val="false"/>
          <w:sz w:val="22"/>
          <w:szCs w:val="22"/>
        </w:rPr>
        <w:t xml:space="preserve"> The law names the structural relationships among the household-structures, the community polity, the generational succession, and the canonical-prophetic apparatus that holds the substance across the generations. The framing emphasizes the multiple structural levels of the generational scale's architecture.</w:t>
      </w:r>
    </w:p>
    <w:p>
      <w:pPr>
        <w:pStyle w:val="ListParagraph"/>
        <w:numPr>
          <w:ilvl w:val="0"/>
          <w:numId w:val="1"/>
        </w:numPr>
        <w:spacing w:after="80" w:line="280"/>
      </w:pPr>
      <w:r>
        <w:rPr>
          <w:rFonts w:ascii="Arial" w:cs="Arial" w:eastAsia="Arial" w:hAnsi="Arial"/>
          <w:b/>
          <w:bCs/>
          <w:i w:val="false"/>
          <w:iCs w:val="false"/>
          <w:sz w:val="22"/>
          <w:szCs w:val="22"/>
        </w:rPr>
        <w:t xml:space="preserve">Trinitarian generational-structure framing.</w:t>
      </w:r>
      <w:r>
        <w:rPr>
          <w:rFonts w:ascii="Arial" w:cs="Arial" w:eastAsia="Arial" w:hAnsi="Arial"/>
          <w:b w:val="false"/>
          <w:bCs w:val="false"/>
          <w:i w:val="false"/>
          <w:iCs w:val="false"/>
          <w:sz w:val="22"/>
          <w:szCs w:val="22"/>
        </w:rPr>
        <w:t xml:space="preserve"> The law names the architecture's coherence with the Father-Son-Spirit generation-and-procession patterns, with the inter-generational transmission operating within (and reflecting) the eternal generation of the Son and the procession of the Spirit. The framing emphasizes the theological grounding of the structural architecture.</w:t>
      </w:r>
    </w:p>
    <w:p>
      <w:pPr>
        <w:spacing w:after="160" w:line="300"/>
      </w:pPr>
      <w:r>
        <w:rPr>
          <w:rFonts w:ascii="Arial" w:cs="Arial" w:eastAsia="Arial" w:hAnsi="Arial"/>
          <w:b w:val="false"/>
          <w:bCs w:val="false"/>
          <w:i w:val="false"/>
          <w:iCs w:val="false"/>
          <w:sz w:val="22"/>
          <w:szCs w:val="22"/>
        </w:rPr>
        <w:t xml:space="preserve">Working judgment: </w:t>
      </w:r>
      <w:r>
        <w:rPr>
          <w:rFonts w:ascii="Arial" w:cs="Arial" w:eastAsia="Arial" w:hAnsi="Arial"/>
          <w:b/>
          <w:bCs/>
          <w:i w:val="false"/>
          <w:iCs w:val="false"/>
          <w:sz w:val="22"/>
          <w:szCs w:val="22"/>
        </w:rPr>
        <w:t xml:space="preserve">Nested-formation-envelope framing</w:t>
      </w:r>
      <w:r>
        <w:rPr>
          <w:rFonts w:ascii="Arial" w:cs="Arial" w:eastAsia="Arial" w:hAnsi="Arial"/>
          <w:b w:val="false"/>
          <w:bCs w:val="false"/>
          <w:i w:val="false"/>
          <w:iCs w:val="false"/>
          <w:sz w:val="22"/>
          <w:szCs w:val="22"/>
        </w:rPr>
        <w:t xml:space="preserve"> with the canonical-and-prophetic-and-pastoral language as the articulation's primary register. The Trinitarian framing is too theologically-heavy for the catalog's operational-law form; the canonical-and-prophetic-and-pastoral framing is more operationally direct. The nested-formation-envelope framing is the most accessible articulation for the reader. Decision needed at v5_6_0_10 admission.</w:t>
      </w:r>
    </w:p>
    <w:p>
      <w:pPr>
        <w:pStyle w:val="Heading2"/>
        <w:spacing w:after="160" w:before="240"/>
      </w:pPr>
      <w:r>
        <w:rPr>
          <w:rFonts w:ascii="Arial" w:cs="Arial" w:eastAsia="Arial" w:hAnsi="Arial"/>
          <w:b/>
          <w:bCs/>
          <w:sz w:val="30"/>
          <w:szCs w:val="30"/>
        </w:rPr>
        <w:t xml:space="preserve">Q2 — "What the Completed Period 4 Row Reveals" sub-section: what should it cover?</w:t>
      </w:r>
    </w:p>
    <w:p>
      <w:pPr>
        <w:spacing w:after="160" w:line="300"/>
      </w:pPr>
      <w:r>
        <w:rPr>
          <w:rFonts w:ascii="Arial" w:cs="Arial" w:eastAsia="Arial" w:hAnsi="Arial"/>
          <w:b w:val="false"/>
          <w:bCs w:val="false"/>
          <w:i w:val="false"/>
          <w:iCs w:val="false"/>
          <w:sz w:val="22"/>
          <w:szCs w:val="22"/>
        </w:rPr>
        <w:t xml:space="preserve">The sub-section the v5_6_0_8 Q3 approval named warrants explicit scope determination at v5_6_0_10 admission. The candidate observations include:</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The generational scale's asymmetric-default-trajectory feature (the structural pattern of negative-by-default, positive-by-deliberate-work).</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The five distinct transmission mechanisms named across the row (deliberate teaching, implicit-learning channel, Spirit-anointing impartation, embedded practice, doctrinal tradition) and their structural relationships.</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The structural envelope the Generational Nested Structure Law names as the architectural framework.</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The GIII Soul cell question (structural feature or genuine under-population).</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The relationship between Period 4 and Period 3 (community scale) — what the generational scale's distinct mechanisms imply for the community scale's continued development.</w:t>
      </w:r>
    </w:p>
    <w:p>
      <w:pPr>
        <w:spacing w:after="160" w:line="300"/>
      </w:pPr>
      <w:r>
        <w:rPr>
          <w:rFonts w:ascii="Arial" w:cs="Arial" w:eastAsia="Arial" w:hAnsi="Arial"/>
          <w:b w:val="false"/>
          <w:bCs w:val="false"/>
          <w:i w:val="false"/>
          <w:iCs w:val="false"/>
          <w:sz w:val="22"/>
          <w:szCs w:val="22"/>
        </w:rPr>
        <w:t xml:space="preserve">Working judgment: All five candidate observations in the sub-section, organized in roughly that order. The sub-section is anticipated to be comparable in length and articulation density to the v5_6_0_8 community-relational substrate sub-section at P3/GV (approximately 800–1200 words). The structural-completion-celebration note in the closing of the v5_6_0_10 chapter would summarize the row's structural significance in a few sentences with reference to the full sub-section.</w:t>
      </w:r>
    </w:p>
    <w:p>
      <w:pPr>
        <w:pStyle w:val="Heading2"/>
        <w:spacing w:after="160" w:before="240"/>
      </w:pPr>
      <w:r>
        <w:rPr>
          <w:rFonts w:ascii="Arial" w:cs="Arial" w:eastAsia="Arial" w:hAnsi="Arial"/>
          <w:b/>
          <w:bCs/>
          <w:sz w:val="30"/>
          <w:szCs w:val="30"/>
        </w:rPr>
        <w:t xml:space="preserve">Q3 — Group V placement revisit: what evidence is the cumulative review examining?</w:t>
      </w:r>
    </w:p>
    <w:p>
      <w:pPr>
        <w:spacing w:after="160" w:line="300"/>
      </w:pPr>
      <w:r>
        <w:rPr>
          <w:rFonts w:ascii="Arial" w:cs="Arial" w:eastAsia="Arial" w:hAnsi="Arial"/>
          <w:b w:val="false"/>
          <w:bCs w:val="false"/>
          <w:i w:val="false"/>
          <w:iCs w:val="false"/>
          <w:sz w:val="22"/>
          <w:szCs w:val="22"/>
        </w:rPr>
        <w:t xml:space="preserve">The Group V placement revisit deferred from v5_6_0_8 Q2 is to be conducted at v5_6_0_10. The cumulative evidence the review will examine:</w:t>
      </w:r>
    </w:p>
    <w:p>
      <w:pPr>
        <w:pStyle w:val="ListParagraph"/>
        <w:numPr>
          <w:ilvl w:val="0"/>
          <w:numId w:val="1"/>
        </w:numPr>
        <w:spacing w:after="80" w:line="280"/>
      </w:pPr>
      <w:r>
        <w:rPr>
          <w:rFonts w:ascii="Arial" w:cs="Arial" w:eastAsia="Arial" w:hAnsi="Arial"/>
          <w:b/>
          <w:bCs/>
          <w:i w:val="false"/>
          <w:iCs w:val="false"/>
          <w:sz w:val="22"/>
          <w:szCs w:val="22"/>
        </w:rPr>
        <w:t xml:space="preserve">P0/GV: FL.I Sowing-and-Reaping, FL.VI Hear-and-Obey, FL.XVI Bondage.</w:t>
      </w:r>
      <w:r>
        <w:rPr>
          <w:rFonts w:ascii="Arial" w:cs="Arial" w:eastAsia="Arial" w:hAnsi="Arial"/>
          <w:b w:val="false"/>
          <w:bCs w:val="false"/>
          <w:i w:val="false"/>
          <w:iCs w:val="false"/>
          <w:sz w:val="22"/>
          <w:szCs w:val="22"/>
        </w:rPr>
        <w:t xml:space="preserve"> Three Foundational Laws at the scale-invariant level. The mechanism of each is embodied action (sowing/reaping; hearing/obeying; sin-action/bondage-action). Group V designation operationally consistent.</w:t>
      </w:r>
    </w:p>
    <w:p>
      <w:pPr>
        <w:pStyle w:val="ListParagraph"/>
        <w:numPr>
          <w:ilvl w:val="0"/>
          <w:numId w:val="1"/>
        </w:numPr>
        <w:spacing w:after="80" w:line="280"/>
      </w:pPr>
      <w:r>
        <w:rPr>
          <w:rFonts w:ascii="Arial" w:cs="Arial" w:eastAsia="Arial" w:hAnsi="Arial"/>
          <w:b/>
          <w:bCs/>
          <w:i w:val="false"/>
          <w:iCs w:val="false"/>
          <w:sz w:val="22"/>
          <w:szCs w:val="22"/>
        </w:rPr>
        <w:t xml:space="preserve">P1/GV: FL.II Confession-Restoration, FL.IX Generosity-Provision.</w:t>
      </w:r>
      <w:r>
        <w:rPr>
          <w:rFonts w:ascii="Arial" w:cs="Arial" w:eastAsia="Arial" w:hAnsi="Arial"/>
          <w:b w:val="false"/>
          <w:bCs w:val="false"/>
          <w:i w:val="false"/>
          <w:iCs w:val="false"/>
          <w:sz w:val="22"/>
          <w:szCs w:val="22"/>
        </w:rPr>
        <w:t xml:space="preserve"> Two Foundational Laws at the individual scale. Confession-Restoration's mechanism is the embodied speaking-aloud; Generosity-Provision's mechanism is the embodied giving. Group V designation operationally consistent.</w:t>
      </w:r>
    </w:p>
    <w:p>
      <w:pPr>
        <w:pStyle w:val="ListParagraph"/>
        <w:numPr>
          <w:ilvl w:val="0"/>
          <w:numId w:val="1"/>
        </w:numPr>
        <w:spacing w:after="80" w:line="280"/>
      </w:pPr>
      <w:r>
        <w:rPr>
          <w:rFonts w:ascii="Arial" w:cs="Arial" w:eastAsia="Arial" w:hAnsi="Arial"/>
          <w:b/>
          <w:bCs/>
          <w:i w:val="false"/>
          <w:iCs w:val="false"/>
          <w:sz w:val="22"/>
          <w:szCs w:val="22"/>
        </w:rPr>
        <w:t xml:space="preserve">P2/GV: FL.V Reciprocal Forgiveness, FL.XII Honor-Authority Flourishing.</w:t>
      </w:r>
      <w:r>
        <w:rPr>
          <w:rFonts w:ascii="Arial" w:cs="Arial" w:eastAsia="Arial" w:hAnsi="Arial"/>
          <w:b w:val="false"/>
          <w:bCs w:val="false"/>
          <w:i w:val="false"/>
          <w:iCs w:val="false"/>
          <w:sz w:val="22"/>
          <w:szCs w:val="22"/>
        </w:rPr>
        <w:t xml:space="preserve"> Two Foundational Laws at the dyadic scale. Forgiveness's mechanism is the relational-embodied act of forgiving (the speaking, the releasing, the continued relational structure); Honor-Authority's mechanism is the relational-embodied act of honor. Group V designation operationally consistent.</w:t>
      </w:r>
    </w:p>
    <w:p>
      <w:pPr>
        <w:pStyle w:val="ListParagraph"/>
        <w:numPr>
          <w:ilvl w:val="0"/>
          <w:numId w:val="1"/>
        </w:numPr>
        <w:spacing w:after="80" w:line="280"/>
      </w:pPr>
      <w:r>
        <w:rPr>
          <w:rFonts w:ascii="Arial" w:cs="Arial" w:eastAsia="Arial" w:hAnsi="Arial"/>
          <w:b/>
          <w:bCs/>
          <w:i w:val="false"/>
          <w:iCs w:val="false"/>
          <w:sz w:val="22"/>
          <w:szCs w:val="22"/>
        </w:rPr>
        <w:t xml:space="preserve">P3/GV: FL.XVIII Bitter-Root Community, FL.XXIV Confession-in-Community, FL.XXV Restoration-of-the-Erring.</w:t>
      </w:r>
      <w:r>
        <w:rPr>
          <w:rFonts w:ascii="Arial" w:cs="Arial" w:eastAsia="Arial" w:hAnsi="Arial"/>
          <w:b w:val="false"/>
          <w:bCs w:val="false"/>
          <w:i w:val="false"/>
          <w:iCs w:val="false"/>
          <w:sz w:val="22"/>
          <w:szCs w:val="22"/>
        </w:rPr>
        <w:t xml:space="preserve"> Three Foundational Laws (the community-relational substrate triplet). Each operates through embodied community-scale action. Group V designation operationally consistent.</w:t>
      </w:r>
    </w:p>
    <w:p>
      <w:pPr>
        <w:pStyle w:val="ListParagraph"/>
        <w:numPr>
          <w:ilvl w:val="0"/>
          <w:numId w:val="1"/>
        </w:numPr>
        <w:spacing w:after="80" w:line="280"/>
      </w:pPr>
      <w:r>
        <w:rPr>
          <w:rFonts w:ascii="Arial" w:cs="Arial" w:eastAsia="Arial" w:hAnsi="Arial"/>
          <w:b/>
          <w:bCs/>
          <w:i w:val="false"/>
          <w:iCs w:val="false"/>
          <w:sz w:val="22"/>
          <w:szCs w:val="22"/>
        </w:rPr>
        <w:t xml:space="preserve">P4/GV: FL.XXVII Thick Practice Transmission.</w:t>
      </w:r>
      <w:r>
        <w:rPr>
          <w:rFonts w:ascii="Arial" w:cs="Arial" w:eastAsia="Arial" w:hAnsi="Arial"/>
          <w:b w:val="false"/>
          <w:bCs w:val="false"/>
          <w:i w:val="false"/>
          <w:iCs w:val="false"/>
          <w:sz w:val="22"/>
          <w:szCs w:val="22"/>
        </w:rPr>
        <w:t xml:space="preserve"> One Foundational Law at the generational scale. Mechanism is the embodied practice across generations. Group V designation operationally consistent.</w:t>
      </w:r>
    </w:p>
    <w:p>
      <w:pPr>
        <w:spacing w:after="160" w:line="300"/>
      </w:pPr>
      <w:r>
        <w:rPr>
          <w:rFonts w:ascii="Arial" w:cs="Arial" w:eastAsia="Arial" w:hAnsi="Arial"/>
          <w:b w:val="false"/>
          <w:bCs w:val="false"/>
          <w:i w:val="false"/>
          <w:iCs w:val="false"/>
          <w:sz w:val="22"/>
          <w:szCs w:val="22"/>
        </w:rPr>
        <w:t xml:space="preserve">Working judgment: </w:t>
      </w:r>
      <w:r>
        <w:rPr>
          <w:rFonts w:ascii="Arial" w:cs="Arial" w:eastAsia="Arial" w:hAnsi="Arial"/>
          <w:b/>
          <w:bCs/>
          <w:i w:val="false"/>
          <w:iCs w:val="false"/>
          <w:sz w:val="22"/>
          <w:szCs w:val="22"/>
        </w:rPr>
        <w:t xml:space="preserve">The cumulative evidence supports the Group V designation as operationally consistent across the scales.</w:t>
      </w:r>
      <w:r>
        <w:rPr>
          <w:rFonts w:ascii="Arial" w:cs="Arial" w:eastAsia="Arial" w:hAnsi="Arial"/>
          <w:b w:val="false"/>
          <w:bCs w:val="false"/>
          <w:i w:val="false"/>
          <w:iCs w:val="false"/>
          <w:sz w:val="22"/>
          <w:szCs w:val="22"/>
        </w:rPr>
        <w:t xml:space="preserve"> No adjustments are warranted from the placement review. The Group V column's density and operational coherence reflects the catalog's recognition that the embodied-action dimension is operationally rich at every scale, and the column's growth across the recent revisions does not surface a placement inconsistency. The Group V placement question can be closed at v5_6_0_10 with the cumulative-evidence affirmation. Decision available for ratification or counter-proposal at v5_6_0_10 admission.</w:t>
      </w:r>
    </w:p>
    <w:p>
      <w:pPr>
        <w:pStyle w:val="Heading2"/>
        <w:spacing w:after="160" w:before="240"/>
      </w:pPr>
      <w:r>
        <w:rPr>
          <w:rFonts w:ascii="Arial" w:cs="Arial" w:eastAsia="Arial" w:hAnsi="Arial"/>
          <w:b/>
          <w:bCs/>
          <w:sz w:val="30"/>
          <w:szCs w:val="30"/>
        </w:rPr>
        <w:t xml:space="preserve">Q4 — v5_6_0_11 Period 3 / Groups III–IV scope: focused single addition, or multi-candidate expansion pass?</w:t>
      </w:r>
    </w:p>
    <w:p>
      <w:pPr>
        <w:spacing w:after="160" w:line="300"/>
      </w:pPr>
      <w:r>
        <w:rPr>
          <w:rFonts w:ascii="Arial" w:cs="Arial" w:eastAsia="Arial" w:hAnsi="Arial"/>
          <w:b w:val="false"/>
          <w:bCs w:val="false"/>
          <w:i w:val="false"/>
          <w:iCs w:val="false"/>
          <w:sz w:val="22"/>
          <w:szCs w:val="22"/>
        </w:rPr>
        <w:t xml:space="preserve">The v5_6_0_8 Q4 working judgment (approved) was that v5_6_0_11 would address the Period 3 / Groups III–IV under-population. The scope of the v5_6_0_11 expansion has not yet been determined.</w:t>
      </w:r>
    </w:p>
    <w:p>
      <w:pPr>
        <w:spacing w:after="160" w:line="300"/>
      </w:pPr>
      <w:r>
        <w:rPr>
          <w:rFonts w:ascii="Arial" w:cs="Arial" w:eastAsia="Arial" w:hAnsi="Arial"/>
          <w:b w:val="false"/>
          <w:bCs w:val="false"/>
          <w:i w:val="false"/>
          <w:iCs w:val="false"/>
          <w:sz w:val="22"/>
          <w:szCs w:val="22"/>
        </w:rPr>
        <w:t xml:space="preserve">Options:</w:t>
      </w:r>
    </w:p>
    <w:p>
      <w:pPr>
        <w:pStyle w:val="ListParagraph"/>
        <w:numPr>
          <w:ilvl w:val="0"/>
          <w:numId w:val="1"/>
        </w:numPr>
        <w:spacing w:after="80" w:line="280"/>
      </w:pPr>
      <w:r>
        <w:rPr>
          <w:rFonts w:ascii="Arial" w:cs="Arial" w:eastAsia="Arial" w:hAnsi="Arial"/>
          <w:b/>
          <w:bCs/>
          <w:i w:val="false"/>
          <w:iCs w:val="false"/>
          <w:sz w:val="22"/>
          <w:szCs w:val="22"/>
        </w:rPr>
        <w:t xml:space="preserve">Focused single addition.</w:t>
      </w:r>
      <w:r>
        <w:rPr>
          <w:rFonts w:ascii="Arial" w:cs="Arial" w:eastAsia="Arial" w:hAnsi="Arial"/>
          <w:b w:val="false"/>
          <w:bCs w:val="false"/>
          <w:i w:val="false"/>
          <w:iCs w:val="false"/>
          <w:sz w:val="22"/>
          <w:szCs w:val="22"/>
        </w:rPr>
        <w:t xml:space="preserve"> A single Period 3 / Group III or Group IV Foundational Law admission, comparable in scope to v5_6_0_7 (FL.XXII) or v5_6_0_9 (FL.XXVII). The targeted candidate is community-scale soul-integration or community-scale cognitive-dynamics.</w:t>
      </w:r>
    </w:p>
    <w:p>
      <w:pPr>
        <w:pStyle w:val="ListParagraph"/>
        <w:numPr>
          <w:ilvl w:val="0"/>
          <w:numId w:val="1"/>
        </w:numPr>
        <w:spacing w:after="80" w:line="280"/>
      </w:pPr>
      <w:r>
        <w:rPr>
          <w:rFonts w:ascii="Arial" w:cs="Arial" w:eastAsia="Arial" w:hAnsi="Arial"/>
          <w:b/>
          <w:bCs/>
          <w:i w:val="false"/>
          <w:iCs w:val="false"/>
          <w:sz w:val="22"/>
          <w:szCs w:val="22"/>
        </w:rPr>
        <w:t xml:space="preserve">Multi-candidate expansion pass.</w:t>
      </w:r>
      <w:r>
        <w:rPr>
          <w:rFonts w:ascii="Arial" w:cs="Arial" w:eastAsia="Arial" w:hAnsi="Arial"/>
          <w:b w:val="false"/>
          <w:bCs w:val="false"/>
          <w:i w:val="false"/>
          <w:iCs w:val="false"/>
          <w:sz w:val="22"/>
          <w:szCs w:val="22"/>
        </w:rPr>
        <w:t xml:space="preserve"> A v5_6_0_6-style expansion pass surfacing 8–12 candidates and admitting 3–4 finalists at Period 3 / Groups III–IV. The pass would address the under-population substantively rather than incrementally.</w:t>
      </w:r>
    </w:p>
    <w:p>
      <w:pPr>
        <w:spacing w:after="160" w:line="300"/>
      </w:pPr>
      <w:r>
        <w:rPr>
          <w:rFonts w:ascii="Arial" w:cs="Arial" w:eastAsia="Arial" w:hAnsi="Arial"/>
          <w:b w:val="false"/>
          <w:bCs w:val="false"/>
          <w:i w:val="false"/>
          <w:iCs w:val="false"/>
          <w:sz w:val="22"/>
          <w:szCs w:val="22"/>
        </w:rPr>
        <w:t xml:space="preserve">Working judgment: </w:t>
      </w:r>
      <w:r>
        <w:rPr>
          <w:rFonts w:ascii="Arial" w:cs="Arial" w:eastAsia="Arial" w:hAnsi="Arial"/>
          <w:b/>
          <w:bCs/>
          <w:i w:val="false"/>
          <w:iCs w:val="false"/>
          <w:sz w:val="22"/>
          <w:szCs w:val="22"/>
        </w:rPr>
        <w:t xml:space="preserve">Multi-candidate expansion pass at v5_6_0_11</w:t>
      </w:r>
      <w:r>
        <w:rPr>
          <w:rFonts w:ascii="Arial" w:cs="Arial" w:eastAsia="Arial" w:hAnsi="Arial"/>
          <w:b w:val="false"/>
          <w:bCs w:val="false"/>
          <w:i w:val="false"/>
          <w:iCs w:val="false"/>
          <w:sz w:val="22"/>
          <w:szCs w:val="22"/>
        </w:rPr>
        <w:t xml:space="preserve">, comparable in scope to v5_6_0_6. The Period 3 / Groups III–IV territory is under-populated by more than one entry's worth of structural gap, and the expansion-pass methodology has proven effective at v5_6_0_6 for territory-level work. The pass would surface candidates, apply the stress-test against the structural axes and the Mirror discipline, and admit the finalists that clear the inclusion bar. The v5_6_0_11 revision would accordingly be substantial (comparable to v5_6_0_6's 68-page deliverable), and the v5_6_0_12 and subsequent revisions could then turn to the Group VI architectural-framework and Period 5 sparseness territories with the Period 3 row in operationally-developed shape. Decision for guidance at v5_6_0_10 closing-note articulation.</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Summary</w:t>
      </w:r>
    </w:p>
    <w:p>
      <w:pPr>
        <w:spacing w:after="160" w:line="300"/>
      </w:pPr>
      <w:r>
        <w:rPr>
          <w:rFonts w:ascii="Arial" w:cs="Arial" w:eastAsia="Arial" w:hAnsi="Arial"/>
          <w:b w:val="false"/>
          <w:bCs w:val="false"/>
          <w:i w:val="false"/>
          <w:iCs w:val="false"/>
          <w:sz w:val="22"/>
          <w:szCs w:val="22"/>
        </w:rPr>
        <w:t xml:space="preserve">Four residual key questions for v5_6_0_10 resolution: (Q1) Generational Nested Structure Law framing; (Q2) Completed Period 4 Row sub-section scope; (Q3) Group V placement revisit affirmation; (Q4) v5_6_0_11 Period 3 / Groups III–IV scope.</w:t>
      </w:r>
    </w:p>
    <w:p>
      <w:pPr>
        <w:spacing w:after="160" w:line="300"/>
      </w:pPr>
      <w:r>
        <w:rPr>
          <w:rFonts w:ascii="Arial" w:cs="Arial" w:eastAsia="Arial" w:hAnsi="Arial"/>
          <w:b w:val="false"/>
          <w:bCs w:val="false"/>
          <w:i w:val="false"/>
          <w:iCs w:val="false"/>
          <w:sz w:val="22"/>
          <w:szCs w:val="22"/>
        </w:rPr>
        <w:t xml:space="preserve">Working judgments are provided. The v5_6_0_10 revision will close the Period 4 expansion arc that began at v5_6_0_5 and will mark a transition in the catalog's expansion trajectory toward the Period 3 / Groups III–IV under-population at v5_6_0_11.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 w:type="paragraph" w:styleId="Heading4">
    <w:name w:val="Heading 4"/>
    <w:basedOn w:val="Normal"/>
    <w:next w:val="Normal"/>
    <w:qFormat/>
    <w:pPr>
      <w:spacing w:after="120" w:before="20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2026-05-21T20:16:06.211Z</dcterms:created>
  <dcterms:modified xsi:type="dcterms:W3CDTF">2026-05-21T20:16:06.226Z</dcterms:modified>
</cp:coreProperties>
</file>

<file path=docProps/custom.xml><?xml version="1.0" encoding="utf-8"?>
<Properties xmlns="http://schemas.openxmlformats.org/officeDocument/2006/custom-properties" xmlns:vt="http://schemas.openxmlformats.org/officeDocument/2006/docPropsVTypes"/>
</file>