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IJH Vol 3 — Law Expansion &amp; Table Stress-Test (Engine chapter)</w:t>
      </w:r>
    </w:p>
    <w:p>
      <w:pPr>
        <w:spacing w:after="140"/>
      </w:pPr>
      <w:r>
        <w:rPr>
          <w:i/>
          <w:iCs/>
        </w:rPr>
        <w:t xml:space="preserve">Working analysis, 2026-06-17. Does the new "Engine Beneath the Force" exercise (energy / time / inertia / work / friction / temperature / phase map / gift-of-faith / Schwarz energeia) surface any new Foundational Laws? Candidate-generation + stress-test against the live catalog. </w:t>
      </w:r>
      <w:r>
        <w:rPr>
          <w:i/>
          <w:iCs/>
        </w:rPr>
        <w:t xml:space="preserve">No manuscript edits in this pass — analysis only.</w:t>
      </w:r>
      <w:r>
        <w:rPr>
          <w:i/>
          <w:iCs/>
        </w:rPr>
        <w:t xml:space="preserve"> Dev-only.</w:t>
      </w:r>
    </w:p>
    <w:p>
      <w:pPr>
        <w:pStyle w:val="Heading2"/>
      </w:pPr>
      <w:r>
        <w:t xml:space="preserve">1. The structure under test (restated)</w:t>
      </w:r>
    </w:p>
    <w:p>
      <w:pPr>
        <w:spacing w:after="140"/>
      </w:pPr>
      <w:r>
        <w:rPr>
          <w:b/>
          <w:bCs/>
        </w:rPr>
        <w:t xml:space="preserve">Inclusion bar — a candidate is a Foundational Law only if it clears all four</w:t>
      </w:r>
      <w:r>
        <w:t xml:space="preserve"> (from the Vol 1 Foundational-Laws intro):</w:t>
      </w:r>
    </w:p>
    <w:p>
      <w:pPr>
        <w:spacing w:after="140"/>
      </w:pPr>
      <w:r>
        <w:t xml:space="preserve">1. </w:t>
      </w:r>
      <w:r>
        <w:rPr>
          <w:b/>
          <w:bCs/>
        </w:rPr>
        <w:t xml:space="preserve">Multi-author scriptural support</w:t>
      </w:r>
      <w:r>
        <w:t xml:space="preserve"> — ≥ 2 biblical authors.</w:t>
      </w:r>
    </w:p>
    <w:p>
      <w:pPr>
        <w:spacing w:after="140"/>
      </w:pPr>
      <w:r>
        <w:t xml:space="preserve">2. </w:t>
      </w:r>
      <w:r>
        <w:rPr>
          <w:b/>
          <w:bCs/>
        </w:rPr>
        <w:t xml:space="preserve">Broad acceptance</w:t>
      </w:r>
      <w:r>
        <w:t xml:space="preserve"> — affirmed across mainstream traditions, not contested.</w:t>
      </w:r>
    </w:p>
    <w:p>
      <w:pPr>
        <w:spacing w:after="140"/>
      </w:pPr>
      <w:r>
        <w:t xml:space="preserve">3. </w:t>
      </w:r>
      <w:r>
        <w:rPr>
          <w:b/>
          <w:bCs/>
        </w:rPr>
        <w:t xml:space="preserve">Directionality</w:t>
      </w:r>
      <w:r>
        <w:t xml:space="preserve"> — causal/conditional (X → Y), not merely descriptive.</w:t>
      </w:r>
    </w:p>
    <w:p>
      <w:pPr>
        <w:spacing w:after="140"/>
      </w:pPr>
      <w:r>
        <w:t xml:space="preserve">4. </w:t>
      </w:r>
      <w:r>
        <w:rPr>
          <w:b/>
          <w:bCs/>
        </w:rPr>
        <w:t xml:space="preserve">Principle-level</w:t>
      </w:r>
      <w:r>
        <w:t xml:space="preserve"> — a governing principle, not a situational command.</w:t>
      </w:r>
    </w:p>
    <w:p>
      <w:pPr>
        <w:spacing w:after="140"/>
      </w:pPr>
      <w:r>
        <w:t xml:space="preserve">Bands of closeness handle principle↔command proximity (Band 1 clearly-distinguishable; Band 2 scripturally-specified pathway; Band 3 tradition-by-tradition operational forms).</w:t>
      </w:r>
    </w:p>
    <w:p>
      <w:pPr>
        <w:spacing w:after="140"/>
      </w:pPr>
      <w:r>
        <w:rPr>
          <w:b/>
          <w:bCs/>
        </w:rPr>
        <w:t xml:space="preserve">The table address (3 parts):</w:t>
      </w:r>
      <w:r>
        <w:t xml:space="preserve"> Period </w:t>
      </w:r>
      <w:r>
        <w:rPr>
          <w:b/>
          <w:bCs/>
        </w:rPr>
        <w:t xml:space="preserve">P0–P5</w:t>
      </w:r>
      <w:r>
        <w:t xml:space="preserve"> (scale) × Group </w:t>
      </w:r>
      <w:r>
        <w:rPr>
          <w:b/>
          <w:bCs/>
        </w:rPr>
        <w:t xml:space="preserve">GI–GVI</w:t>
      </w:r>
      <w:r>
        <w:t xml:space="preserve"> (part of the person) × direction </w:t>
      </w:r>
      <w:r>
        <w:rPr>
          <w:b/>
          <w:bCs/>
        </w:rPr>
        <w:t xml:space="preserve">V/H/B/I</w:t>
      </w:r>
      <w:r>
        <w:t xml:space="preserve">. Plus </w:t>
      </w:r>
      <w:r>
        <w:rPr>
          <w:b/>
          <w:bCs/>
        </w:rPr>
        <w:t xml:space="preserve">law-type</w:t>
      </w:r>
      <w:r>
        <w:t xml:space="preserve"> (Structural / Operational / Mixed / Gateway; Vol 2 adds Diagnostic / Tool-Application / Developmental) and </w:t>
      </w:r>
      <w:r>
        <w:rPr>
          <w:b/>
          <w:bCs/>
        </w:rPr>
        <w:t xml:space="preserve">Band 1–3</w:t>
      </w:r>
      <w:r>
        <w:t xml:space="preserve">. Vol 3's </w:t>
      </w:r>
      <w:r>
        <w:rPr>
          <w:b/>
          <w:bCs/>
        </w:rPr>
        <w:t xml:space="preserve">Role Atlas</w:t>
      </w:r>
      <w:r>
        <w:t xml:space="preserve"> adds a </w:t>
      </w:r>
      <w:r>
        <w:rPr>
          <w:i/>
          <w:iCs/>
        </w:rPr>
        <w:t xml:space="preserve">third address</w:t>
      </w:r>
      <w:r>
        <w:t xml:space="preserve"> — the </w:t>
      </w:r>
      <w:r>
        <w:rPr>
          <w:b/>
          <w:bCs/>
        </w:rPr>
        <w:t xml:space="preserve">field-role</w:t>
      </w:r>
      <w:r>
        <w:t xml:space="preserve"> (attractor / axis / term / gradient / well / substrate / coupling / constraint / conservation) — for laws viewed inside the dynamical picture.</w:t>
      </w:r>
    </w:p>
    <w:p>
      <w:pPr>
        <w:spacing w:after="140"/>
      </w:pPr>
      <w:r>
        <w:rPr>
          <w:b/>
          <w:bCs/>
        </w:rPr>
        <w:t xml:space="preserve">Catalog:</w:t>
      </w:r>
      <w:r>
        <w:t xml:space="preserve"> 47 FLs (38 wide-consent FL.I–XXXVIII + 9 newer FL.XXXIX–XLVII).</w:t>
      </w:r>
    </w:p>
    <w:p>
      <w:pPr>
        <w:spacing w:after="140"/>
      </w:pPr>
      <w:r>
        <w:rPr>
          <w:b/>
          <w:bCs/>
        </w:rPr>
        <w:t xml:space="preserve">Ambiguity worth naming up front (and it turns out to be the whole finding):</w:t>
      </w:r>
      <w:r>
        <w:t xml:space="preserve"> the table is built to hold </w:t>
      </w:r>
      <w:r>
        <w:rPr>
          <w:i/>
          <w:iCs/>
        </w:rPr>
        <w:t xml:space="preserve">laws</w:t>
      </w:r>
      <w:r>
        <w:t xml:space="preserve"> — directional cause-and-effect relationships. The Engine chapter mostly produces </w:t>
      </w:r>
      <w:r>
        <w:rPr>
          <w:i/>
          <w:iCs/>
        </w:rPr>
        <w:t xml:space="preserve">quantities and field-roles</w:t>
      </w:r>
      <w:r>
        <w:t xml:space="preserve"> (inertia, friction, temperature, work, energy) — a </w:t>
      </w:r>
      <w:r>
        <w:rPr>
          <w:b/>
          <w:bCs/>
        </w:rPr>
        <w:t xml:space="preserve">different kind of object</w:t>
      </w:r>
      <w:r>
        <w:t xml:space="preserve">. The right question is therefore not "which cells do these occupy?" but "are any of them laws at all, or are they the field-roles the Role Atlas already exists to hold?"</w:t>
      </w:r>
    </w:p>
    <w:p>
      <w:pPr>
        <w:pStyle w:val="Heading2"/>
      </w:pPr>
      <w:r>
        <w:t xml:space="preserve">2. Candidate set (from the Engine exercise)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3"/>
        <w:gridCol w:w="2245"/>
        <w:gridCol w:w="6452"/>
      </w:tblGrid>
      <w:tr>
        <w:trPr>
          <w:tblHeader/>
        </w:trPr>
        <w:tc>
          <w:tcPr>
            <w:tcW w:type="dxa" w:w="6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#</w:t>
            </w:r>
          </w:p>
        </w:tc>
        <w:tc>
          <w:tcPr>
            <w:tcW w:type="dxa" w:w="22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Candidate (as a would-be law)</w:t>
            </w:r>
          </w:p>
        </w:tc>
        <w:tc>
          <w:tcPr>
            <w:tcW w:type="dxa" w:w="64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Directional form</w:t>
            </w:r>
          </w:p>
        </w:tc>
      </w:tr>
      <w:tr>
        <w:tc>
          <w:tcPr>
            <w:tcW w:type="dxa" w:w="6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C1</w:t>
            </w:r>
          </w:p>
        </w:tc>
        <w:tc>
          <w:tcPr>
            <w:tcW w:type="dxa" w:w="22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Inertia</w:t>
            </w:r>
          </w:p>
        </w:tc>
        <w:tc>
          <w:tcPr>
            <w:tcW w:type="dxa" w:w="64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The more entrenched the heart, the more force required to change its course</w:t>
            </w:r>
          </w:p>
        </w:tc>
      </w:tr>
      <w:tr>
        <w:tc>
          <w:tcPr>
            <w:tcW w:type="dxa" w:w="6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C2</w:t>
            </w:r>
          </w:p>
        </w:tc>
        <w:tc>
          <w:tcPr>
            <w:tcW w:type="dxa" w:w="22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Friction / damping</w:t>
            </w:r>
          </w:p>
        </w:tc>
        <w:tc>
          <w:tcPr>
            <w:tcW w:type="dxa" w:w="64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Spiritual momentum decays without sustaining community; isolation drains it</w:t>
            </w:r>
          </w:p>
        </w:tc>
      </w:tr>
      <w:tr>
        <w:tc>
          <w:tcPr>
            <w:tcW w:type="dxa" w:w="6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C3</w:t>
            </w:r>
          </w:p>
        </w:tc>
        <w:tc>
          <w:tcPr>
            <w:tcW w:type="dxa" w:w="22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Kairos-time</w:t>
            </w:r>
          </w:p>
        </w:tc>
        <w:tc>
          <w:tcPr>
            <w:tcW w:type="dxa" w:w="64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Formation tracks genuine engagement, not elapsed clock time</w:t>
            </w:r>
          </w:p>
        </w:tc>
      </w:tr>
      <w:tr>
        <w:tc>
          <w:tcPr>
            <w:tcW w:type="dxa" w:w="6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C4</w:t>
            </w:r>
          </w:p>
        </w:tc>
        <w:tc>
          <w:tcPr>
            <w:tcW w:type="dxa" w:w="22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Work / proportional cost</w:t>
            </w:r>
          </w:p>
        </w:tc>
        <w:tc>
          <w:tcPr>
            <w:tcW w:type="dxa" w:w="64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An act's weight before God is measured by its cost </w:t>
            </w:r>
            <w:r>
              <w:rPr>
                <w:i/>
                <w:iCs/>
              </w:rPr>
              <w:t xml:space="preserve">relative to capacity</w:t>
            </w:r>
            <w:r>
              <w:t xml:space="preserve">, not its absolute size (the widow's mite)</w:t>
            </w:r>
          </w:p>
        </w:tc>
      </w:tr>
      <w:tr>
        <w:tc>
          <w:tcPr>
            <w:tcW w:type="dxa" w:w="6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C5</w:t>
            </w:r>
          </w:p>
        </w:tc>
        <w:tc>
          <w:tcPr>
            <w:tcW w:type="dxa" w:w="22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Temperature / wholeheartedness</w:t>
            </w:r>
          </w:p>
        </w:tc>
        <w:tc>
          <w:tcPr>
            <w:tcW w:type="dxa" w:w="64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Wholehearted seeking finds God; the lukewarm state is rejected</w:t>
            </w:r>
          </w:p>
        </w:tc>
      </w:tr>
      <w:tr>
        <w:tc>
          <w:tcPr>
            <w:tcW w:type="dxa" w:w="6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C6</w:t>
            </w:r>
          </w:p>
        </w:tc>
        <w:tc>
          <w:tcPr>
            <w:tcW w:type="dxa" w:w="22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Gift of faith as a barrier-drop</w:t>
            </w:r>
          </w:p>
        </w:tc>
        <w:tc>
          <w:tcPr>
            <w:tcW w:type="dxa" w:w="64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God can sovereignly collapse a soul's resistance in a moment</w:t>
            </w:r>
          </w:p>
        </w:tc>
      </w:tr>
      <w:tr>
        <w:tc>
          <w:tcPr>
            <w:tcW w:type="dxa" w:w="6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C7</w:t>
            </w:r>
          </w:p>
        </w:tc>
        <w:tc>
          <w:tcPr>
            <w:tcW w:type="dxa" w:w="22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All-by-itself / God gives the growth</w:t>
            </w:r>
          </w:p>
        </w:tc>
        <w:tc>
          <w:tcPr>
            <w:tcW w:type="dxa" w:w="64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Remove the blockage and growth proceeds by God's intrinsic energy</w:t>
            </w:r>
          </w:p>
        </w:tc>
      </w:tr>
      <w:tr>
        <w:tc>
          <w:tcPr>
            <w:tcW w:type="dxa" w:w="6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C8</w:t>
            </w:r>
          </w:p>
        </w:tc>
        <w:tc>
          <w:tcPr>
            <w:tcW w:type="dxa" w:w="22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Revival cascade / phase transition</w:t>
            </w:r>
          </w:p>
        </w:tc>
        <w:tc>
          <w:tcPr>
            <w:tcW w:type="dxa" w:w="64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Corporate fervency spreads by contact; a body crosses thresholds together</w:t>
            </w:r>
          </w:p>
        </w:tc>
      </w:tr>
      <w:tr>
        <w:tc>
          <w:tcPr>
            <w:tcW w:type="dxa" w:w="6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C9</w:t>
            </w:r>
          </w:p>
        </w:tc>
        <w:tc>
          <w:tcPr>
            <w:tcW w:type="dxa" w:w="22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Energy is received, not generated</w:t>
            </w:r>
          </w:p>
        </w:tc>
        <w:tc>
          <w:tcPr>
            <w:tcW w:type="dxa" w:w="64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Spiritual energy originates in God's working (energeia), never in the self</w:t>
            </w:r>
          </w:p>
        </w:tc>
      </w:tr>
      <w:tr>
        <w:tc>
          <w:tcPr>
            <w:tcW w:type="dxa" w:w="6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C10</w:t>
            </w:r>
          </w:p>
        </w:tc>
        <w:tc>
          <w:tcPr>
            <w:tcW w:type="dxa" w:w="22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Dual-valence of inertia</w:t>
            </w:r>
          </w:p>
        </w:tc>
        <w:tc>
          <w:tcPr>
            <w:tcW w:type="dxa" w:w="64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The mass that traps the stuck steadies the established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3. The four that clear (or nearly clear) the bar, walked through the table</w:t>
      </w:r>
    </w:p>
    <w:p>
      <w:pPr>
        <w:spacing w:after="140"/>
      </w:pPr>
      <w:r>
        <w:t xml:space="preserve">Only two candidates even reach the bar as </w:t>
      </w:r>
      <w:r>
        <w:rPr>
          <w:i/>
          <w:iCs/>
        </w:rPr>
        <w:t xml:space="preserve">laws</w:t>
      </w:r>
      <w:r>
        <w:t xml:space="preserve"> (the rest are field-roles/quantities — see §5). Both, walked through the table, prove to be </w:t>
      </w:r>
      <w:r>
        <w:rPr>
          <w:b/>
          <w:bCs/>
        </w:rPr>
        <w:t xml:space="preserve">facets of an existing FL</w:t>
      </w:r>
      <w:r>
        <w:t xml:space="preserve">, not new rows.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C4 — Proportional cost (widow's mite).</w:t>
      </w:r>
      <w:r>
        <w:t xml:space="preserve"> </w:t>
      </w:r>
      <w:r>
        <w:rPr>
          <w:i/>
          <w:iCs/>
        </w:rPr>
        <w:t xml:space="preserve">Bar:</w:t>
      </w:r>
      <w:r>
        <w:t xml:space="preserve"> multi-author </w:t>
      </w:r>
      <w:r>
        <w:rPr>
          <w:b/>
          <w:bCs/>
        </w:rPr>
        <w:t xml:space="preserve">yes</w:t>
      </w:r>
      <w:r>
        <w:t xml:space="preserve"> (2 Cor. 8:12 "according to what one has"; Mark 12/Luke 21 widow; Luke 12:48 "to whom much is given"); broadly accepted </w:t>
      </w:r>
      <w:r>
        <w:rPr>
          <w:b/>
          <w:bCs/>
        </w:rPr>
        <w:t xml:space="preserve">yes</w:t>
      </w:r>
      <w:r>
        <w:t xml:space="preserve">; directional </w:t>
      </w:r>
      <w:r>
        <w:rPr>
          <w:b/>
          <w:bCs/>
        </w:rPr>
        <w:t xml:space="preserve">partly</w:t>
      </w:r>
      <w:r>
        <w:t xml:space="preserve"> (it is more </w:t>
      </w:r>
      <w:r>
        <w:rPr>
          <w:i/>
          <w:iCs/>
        </w:rPr>
        <w:t xml:space="preserve">evaluative</w:t>
      </w:r>
      <w:r>
        <w:t xml:space="preserve"> — how God weighs — than cause→effect); principle-level </w:t>
      </w:r>
      <w:r>
        <w:rPr>
          <w:b/>
          <w:bCs/>
        </w:rPr>
        <w:t xml:space="preserve">yes</w:t>
      </w:r>
      <w:r>
        <w:t xml:space="preserve">. </w:t>
      </w:r>
      <w:r>
        <w:rPr>
          <w:i/>
          <w:iCs/>
        </w:rPr>
        <w:t xml:space="preserve">Table:</w:t>
      </w:r>
      <w:r>
        <w:t xml:space="preserve"> it would sit P0/GV, B — </w:t>
      </w:r>
      <w:r>
        <w:rPr>
          <w:b/>
          <w:bCs/>
        </w:rPr>
        <w:t xml:space="preserve">exactly where FL.IX Generosity-Provision already sits.</w:t>
      </w:r>
      <w:r>
        <w:t xml:space="preserve"> It is the </w:t>
      </w:r>
      <w:r>
        <w:rPr>
          <w:i/>
          <w:iCs/>
        </w:rPr>
        <w:t xml:space="preserve">weighing rule</w:t>
      </w:r>
      <w:r>
        <w:t xml:space="preserve"> implicit inside FL.IX (and FL.IV Humility), not a separate law. </w:t>
      </w:r>
      <w:r>
        <w:rPr>
          <w:b/>
          <w:bCs/>
        </w:rPr>
        <w:t xml:space="preserve">Disposition: ABSORB into FL.IX</w:t>
      </w:r>
      <w:r>
        <w:t xml:space="preserve"> (could be named explicitly there; see §5).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C5 — Wholeheartedness / lukewarm.</w:t>
      </w:r>
      <w:r>
        <w:t xml:space="preserve"> </w:t>
      </w:r>
      <w:r>
        <w:rPr>
          <w:i/>
          <w:iCs/>
        </w:rPr>
        <w:t xml:space="preserve">Bar:</w:t>
      </w:r>
      <w:r>
        <w:t xml:space="preserve"> multi-author </w:t>
      </w:r>
      <w:r>
        <w:rPr>
          <w:b/>
          <w:bCs/>
        </w:rPr>
        <w:t xml:space="preserve">yes</w:t>
      </w:r>
      <w:r>
        <w:t xml:space="preserve"> (Jer. 29:13; Deut. 4:29; Rom. 12:11; Rev. 3:15–16); broadly accepted </w:t>
      </w:r>
      <w:r>
        <w:rPr>
          <w:b/>
          <w:bCs/>
        </w:rPr>
        <w:t xml:space="preserve">yes</w:t>
      </w:r>
      <w:r>
        <w:t xml:space="preserve">; directional </w:t>
      </w:r>
      <w:r>
        <w:rPr>
          <w:b/>
          <w:bCs/>
        </w:rPr>
        <w:t xml:space="preserve">yes</w:t>
      </w:r>
      <w:r>
        <w:t xml:space="preserve">; principle-level </w:t>
      </w:r>
      <w:r>
        <w:rPr>
          <w:b/>
          <w:bCs/>
        </w:rPr>
        <w:t xml:space="preserve">yes</w:t>
      </w:r>
      <w:r>
        <w:t xml:space="preserve">. </w:t>
      </w:r>
      <w:r>
        <w:rPr>
          <w:i/>
          <w:iCs/>
        </w:rPr>
        <w:t xml:space="preserve">Table:</w:t>
      </w:r>
      <w:r>
        <w:t xml:space="preserve"> P1/GII, V — </w:t>
      </w:r>
      <w:r>
        <w:rPr>
          <w:b/>
          <w:bCs/>
        </w:rPr>
        <w:t xml:space="preserve">the cell FL.VIII Desire-for-God already occupies</w:t>
      </w:r>
      <w:r>
        <w:t xml:space="preserve"> ("sustained desire → increased capacity to receive"). Lukewarmness is the negative pole FL.VIII already implies. </w:t>
      </w:r>
      <w:r>
        <w:rPr>
          <w:b/>
          <w:bCs/>
        </w:rPr>
        <w:t xml:space="preserve">Disposition: ABSORB into FL.VIII.</w:t>
      </w:r>
    </w:p>
    <w:p>
      <w:pPr>
        <w:spacing w:after="140"/>
      </w:pPr>
      <w:r>
        <w:t xml:space="preserve">The other "near" item, </w:t>
      </w:r>
      <w:r>
        <w:rPr>
          <w:b/>
          <w:bCs/>
        </w:rPr>
        <w:t xml:space="preserve">C7 (God gives the growth, 1 Cor. 3:6–7 + Mark 4:28)</w:t>
      </w:r>
      <w:r>
        <w:t xml:space="preserve">, clears multi-author and acceptance but is about </w:t>
      </w:r>
      <w:r>
        <w:rPr>
          <w:i/>
          <w:iCs/>
        </w:rPr>
        <w:t xml:space="preserve">agency</w:t>
      </w:r>
      <w:r>
        <w:t xml:space="preserve"> (God, not us) rather than a person-side X→Y; it is the catalog's </w:t>
      </w:r>
      <w:r>
        <w:rPr>
          <w:b/>
          <w:bCs/>
        </w:rPr>
        <w:t xml:space="preserve">grace frame</w:t>
      </w:r>
      <w:r>
        <w:t xml:space="preserve"> (stated in the Foundational-Laws intro: "every one rests on grace, God before us") and the content of </w:t>
      </w:r>
      <w:r>
        <w:rPr>
          <w:b/>
          <w:bCs/>
        </w:rPr>
        <w:t xml:space="preserve">FL.XL Abiding-Fruitfulness</w:t>
      </w:r>
      <w:r>
        <w:t xml:space="preserve"> ("apart from me you can do nothing"). </w:t>
      </w:r>
      <w:r>
        <w:rPr>
          <w:b/>
          <w:bCs/>
        </w:rPr>
        <w:t xml:space="preserve">ABSORB.</w:t>
      </w:r>
    </w:p>
    <w:p>
      <w:pPr>
        <w:pStyle w:val="Heading2"/>
      </w:pPr>
      <w:r>
        <w:t xml:space="preserve">4. Synthesis — what the test revealed</w:t>
      </w:r>
    </w:p>
    <w:p>
      <w:pPr>
        <w:spacing w:after="140"/>
      </w:pPr>
      <w:r>
        <w:t xml:space="preserve">1. </w:t>
      </w:r>
      <w:r>
        <w:rPr>
          <w:b/>
          <w:bCs/>
        </w:rPr>
        <w:t xml:space="preserve">The structure held; nothing bent or broke.</w:t>
      </w:r>
      <w:r>
        <w:t xml:space="preserve"> Every Engine concept that </w:t>
      </w:r>
      <w:r>
        <w:rPr>
          <w:i/>
          <w:iCs/>
        </w:rPr>
        <w:t xml:space="preserve">looked</w:t>
      </w:r>
      <w:r>
        <w:t xml:space="preserve"> like a law turned out to be either (a) a </w:t>
      </w:r>
      <w:r>
        <w:rPr>
          <w:b/>
          <w:bCs/>
        </w:rPr>
        <w:t xml:space="preserve">field-role/quantity</w:t>
      </w:r>
      <w:r>
        <w:t xml:space="preserve"> with no row because the Role Atlas already holds it, or (b) a </w:t>
      </w:r>
      <w:r>
        <w:rPr>
          <w:b/>
          <w:bCs/>
        </w:rPr>
        <w:t xml:space="preserve">re-description</w:t>
      </w:r>
      <w:r>
        <w:t xml:space="preserve"> of an existing FL. A law that "has nowhere to sit" would be a finding; here the things with nowhere to sit are precisely the ones that </w:t>
      </w:r>
      <w:r>
        <w:rPr>
          <w:i/>
          <w:iCs/>
        </w:rPr>
        <w:t xml:space="preserve">aren't laws</w:t>
      </w:r>
      <w:r>
        <w:t xml:space="preserve"> — which is the table working correctly.</w:t>
      </w:r>
    </w:p>
    <w:p>
      <w:pPr>
        <w:spacing w:after="140"/>
      </w:pPr>
      <w:r>
        <w:t xml:space="preserve">2. </w:t>
      </w:r>
      <w:r>
        <w:rPr>
          <w:b/>
          <w:bCs/>
        </w:rPr>
        <w:t xml:space="preserve">The Role Atlas is vindicated as the right instrument.</w:t>
      </w:r>
      <w:r>
        <w:t xml:space="preserve"> Inertia, friction, temperature, work, and energy are the </w:t>
      </w:r>
      <w:r>
        <w:rPr>
          <w:i/>
          <w:iCs/>
        </w:rPr>
        <w:t xml:space="preserve">dynamical</w:t>
      </w:r>
      <w:r>
        <w:t xml:space="preserve"> faces of laws already in the catalog — exactly the "third address" the Role Atlas was built to carry. The exercise is therefore confirmation that the Engine chapter belongs where it sits (an organizing instrument, like Grammar / Role Atlas / CLD set), </w:t>
      </w:r>
      <w:r>
        <w:rPr>
          <w:b/>
          <w:bCs/>
        </w:rPr>
        <w:t xml:space="preserve">not</w:t>
      </w:r>
      <w:r>
        <w:t xml:space="preserve"> a source of new rows.</w:t>
      </w:r>
    </w:p>
    <w:p>
      <w:pPr>
        <w:spacing w:after="140"/>
      </w:pPr>
      <w:r>
        <w:t xml:space="preserve">3. </w:t>
      </w:r>
      <w:r>
        <w:rPr>
          <w:b/>
          <w:bCs/>
        </w:rPr>
        <w:t xml:space="preserve">Saturation confirmed.</w:t>
      </w:r>
      <w:r>
        <w:t xml:space="preserve"> Consistent with the hear-and-obey result (~1 mint per 12): this exercise yields </w:t>
      </w:r>
      <w:r>
        <w:rPr>
          <w:b/>
          <w:bCs/>
        </w:rPr>
        <w:t xml:space="preserve">0 mints</w:t>
      </w:r>
      <w:r>
        <w:t xml:space="preserve">. The catalog remains saturated around its core.</w:t>
      </w:r>
    </w:p>
    <w:p>
      <w:pPr>
        <w:spacing w:after="140"/>
      </w:pPr>
      <w:r>
        <w:t xml:space="preserve">4. </w:t>
      </w:r>
      <w:r>
        <w:rPr>
          <w:b/>
          <w:bCs/>
        </w:rPr>
        <w:t xml:space="preserve">One genuine observation for the Council (not a law):</w:t>
      </w:r>
      <w:r>
        <w:t xml:space="preserve"> the </w:t>
      </w:r>
      <w:r>
        <w:rPr>
          <w:b/>
          <w:bCs/>
        </w:rPr>
        <w:t xml:space="preserve">proportional-cost / widow's-mite weighing rule</w:t>
      </w:r>
      <w:r>
        <w:t xml:space="preserve"> is a real, multi-author, broadly-held principle that the catalog currently carries only </w:t>
      </w:r>
      <w:r>
        <w:rPr>
          <w:i/>
          <w:iCs/>
        </w:rPr>
        <w:t xml:space="preserve">implicitly</w:t>
      </w:r>
      <w:r>
        <w:t xml:space="preserve"> inside FL.IX. If anything from this exercise ever warrants a manuscript touch, it is naming that weighing rule explicitly within FL.IX's chapter — a clarification, not a new entry.</w:t>
      </w:r>
    </w:p>
    <w:p>
      <w:pPr>
        <w:pStyle w:val="Heading2"/>
      </w:pPr>
      <w:r>
        <w:t xml:space="preserve">5. Recommendations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Add outright:</w:t>
      </w:r>
      <w:r>
        <w:t xml:space="preserve"> </w:t>
      </w:r>
      <w:r>
        <w:rPr>
          <w:b/>
          <w:bCs/>
        </w:rPr>
        <w:t xml:space="preserve">none.</w:t>
      </w:r>
      <w:r>
        <w:t xml:space="preserve"> Zero new Foundational Laws.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Hold (Council's call, as clarifications inside existing FLs — never new rows):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The </w:t>
      </w:r>
      <w:r>
        <w:rPr>
          <w:b/>
          <w:bCs/>
        </w:rPr>
        <w:t xml:space="preserve">proportional-cost weighing rule</w:t>
      </w:r>
      <w:r>
        <w:t xml:space="preserve"> → consider naming explicitly within </w:t>
      </w:r>
      <w:r>
        <w:rPr>
          <w:b/>
          <w:bCs/>
        </w:rPr>
        <w:t xml:space="preserve">FL.IX Generosity-Provision</w:t>
      </w:r>
      <w:r>
        <w:t xml:space="preserve"> (2 Cor. 8:12; Mark 12:43–44; Luke 12:48).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The </w:t>
      </w:r>
      <w:r>
        <w:rPr>
          <w:b/>
          <w:bCs/>
        </w:rPr>
        <w:t xml:space="preserve">lukewarm/wholehearted</w:t>
      </w:r>
      <w:r>
        <w:t xml:space="preserve"> pole → already implicit in </w:t>
      </w:r>
      <w:r>
        <w:rPr>
          <w:b/>
          <w:bCs/>
        </w:rPr>
        <w:t xml:space="preserve">FL.VIII Desire-for-God</w:t>
      </w:r>
      <w:r>
        <w:t xml:space="preserve">; optional one-line strengthening.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Structural edits:</w:t>
      </w:r>
      <w:r>
        <w:t xml:space="preserve"> </w:t>
      </w:r>
      <w:r>
        <w:rPr>
          <w:b/>
          <w:bCs/>
        </w:rPr>
        <w:t xml:space="preserve">none.</w:t>
      </w:r>
      <w:r>
        <w:t xml:space="preserve"> The stress-test </w:t>
      </w:r>
      <w:r>
        <w:rPr>
          <w:i/>
          <w:iCs/>
        </w:rPr>
        <w:t xml:space="preserve">validates</w:t>
      </w:r>
      <w:r>
        <w:t xml:space="preserve"> the existing structure and the Role-Atlas field-role layer; it asks for no new column. (If the field-roles were ever to be tabulated, that is a Role-Atlas extension, not a Periodic-Table change.)</w:t>
      </w:r>
    </w:p>
    <w:p>
      <w:pPr>
        <w:pStyle w:val="Heading3"/>
      </w:pPr>
      <w:r>
        <w:t xml:space="preserve">Noted but not recommended (demoted — disposition: ABSORB / DECLINE)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C1 Inertia</w:t>
      </w:r>
      <w:r>
        <w:t xml:space="preserve"> → ABSORB (FL.XV Hardening; FL.XVI Bondage; FL.XXII Endurance — the resistance/steadfastness already named). Field-role, not a law.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C2 Friction/damping</w:t>
      </w:r>
      <w:r>
        <w:t xml:space="preserve"> → ABSORB (the negative pole of the Community-as-Amplifier cluster: FL.XVIII, FL.XX, FL.XXIX, FL.XXX). Field-role.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C3 Kairos-time</w:t>
      </w:r>
      <w:r>
        <w:t xml:space="preserve"> → ABSORB (FL.VI Hear-and-Obey + FL.XL Abiding; "delay" is a </w:t>
      </w:r>
      <w:r>
        <w:rPr>
          <w:i/>
          <w:iCs/>
        </w:rPr>
        <w:t xml:space="preserve">Property of Spiritual Law</w:t>
      </w:r>
      <w:r>
        <w:t xml:space="preserve">, not a law). Measurement reframe.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C6 Gift of faith</w:t>
      </w:r>
      <w:r>
        <w:t xml:space="preserve"> → DECLINE as a law (sovereign gift, not a person-side X→Y; already held as open question V3.Exp3.Open2).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C8 Revival cascade</w:t>
      </w:r>
      <w:r>
        <w:t xml:space="preserve"> → ABSORB (Community-as-Amplifier, V2.Exp9; FL.XX Gathered-body). Collective dynamic, not a new law.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C9 Energy received / energeia</w:t>
      </w:r>
      <w:r>
        <w:t xml:space="preserve"> → already present as the catalog's grace frame. Not a candidate.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C10 Dual-valence of inertia</w:t>
      </w:r>
      <w:r>
        <w:t xml:space="preserve"> → ABSORB (the Held-Tensions/Shadow-Pairs and "easy-down, hard-up" Property already carry it). A property, not a law.</w:t>
      </w:r>
    </w:p>
    <w:p>
      <w:pPr>
        <w:spacing w:after="140"/>
      </w:pPr>
      <w:r>
        <w:rPr>
          <w:b/>
          <w:bCs/>
        </w:rPr>
        <w:t xml:space="preserve">Overall verdict: 0 new Foundational Laws.</w:t>
      </w:r>
      <w:r>
        <w:t xml:space="preserve"> The Engine exercise produces field-roles, quantities, and re-descriptions — it deepens </w:t>
      </w:r>
      <w:r>
        <w:rPr>
          <w:i/>
          <w:iCs/>
        </w:rPr>
        <w:t xml:space="preserve">how</w:t>
      </w:r>
      <w:r>
        <w:t xml:space="preserve"> the existing laws are seen (the Role Atlas's job), and it surfaces one weighing-rule worth naming inside FL.IX, but it discovers no new law. The catalog holds at 47.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  <w:lvl w:ilvl="1" w15:tentative="1">
      <w:start w:val="1"/>
      <w:numFmt w:val="bullet"/>
      <w:lvlText w:val="◦"/>
      <w:lvlJc w:val="left"/>
      <w:pPr>
        <w:ind w:left="11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5496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2E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2026-06-18T02:02:25.749Z</dcterms:created>
  <dcterms:modified xsi:type="dcterms:W3CDTF">2026-06-18T02:02:25.761Z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