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Tool Map Matrix</w:t>
      </w:r>
    </w:p>
    <w:p>
      <w:pPr>
        <w:pStyle w:val="Subtitle"/>
      </w:pPr>
      <w:r>
        <w:t xml:space="preserve">What is blocked, laid against what clears it — Volume 2 Exploration 6 and Volume 5 Part VI on one page</w:t>
      </w:r>
    </w:p>
    <w:p>
      <w:pPr>
        <w:pStyle w:val="Author"/>
      </w:pPr>
      <w:r>
        <w:t xml:space="preserve">John G. Tittle</w:t>
      </w:r>
    </w:p>
    <w:p>
      <w:pPr>
        <w:pStyle w:val="Date"/>
      </w:pPr>
      <w:r>
        <w:t xml:space="preserve">Draft v1 — 5 September 2026</w:t>
      </w:r>
    </w:p>
    <w:p>
      <w:pPr>
        <w:pStyle w:val="BlockText"/>
      </w:pPr>
      <w:r>
        <w:rPr>
          <w:b/>
          <w:bCs/>
        </w:rPr>
        <w:t xml:space="preserve">DRAFT v1, for John’s edits.</w:t>
      </w:r>
      <w:r>
        <w:t xml:space="preserve"> </w:t>
      </w:r>
      <w:r>
        <w:t xml:space="preserve">Every cell cites a chapter or a protocol that already pairs the tool with the blockage; nothing here is a new pairing. Gaps are marked as gaps. Placement when adopted: an appendix to Exploration 6, or the front of Volume 5 Part VI, cross-linked both ways. Under the light rule this is a tell, an organizing reference like the Periodic Table itself, held at the Tool Map’s own tier, Reasonably Inferred. The Map’s own caution governs the page: matching help to hurt is discernment, not a lookup, and in every case it is the Holy Spirit who heals; the tools only open the door He walks through.</w:t>
      </w:r>
    </w:p>
    <w:bookmarkStart w:id="9" w:name="how-to-read-it"/>
    <w:p>
      <w:pPr>
        <w:pStyle w:val="Heading1"/>
      </w:pPr>
      <w:r>
        <w:t xml:space="preserve">How to read it</w:t>
      </w:r>
    </w:p>
    <w:p>
      <w:pPr>
        <w:pStyle w:val="FirstParagraph"/>
      </w:pPr>
      <w:r>
        <w:rPr>
          <w:b/>
          <w:bCs/>
        </w:rPr>
        <w:t xml:space="preserve">Rows</w:t>
      </w:r>
      <w:r>
        <w:t xml:space="preserve"> </w:t>
      </w:r>
      <w:r>
        <w:t xml:space="preserve">are what is blocked, the diagnostic laws of Volume 2 Part I plus the two upstream governors the Tool Map names, the corporate knot, and the outer limit.</w:t>
      </w:r>
      <w: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in Table A are the roles a tool plays for that row: the primary tool, its complement, the access mode when the default verbal entry does not reach the person, and what the text warns against.</w:t>
      </w:r>
      <w:r>
        <w:t xml:space="preserve"> </w:t>
      </w:r>
      <w:r>
        <w:rPr>
          <w:b/>
          <w:bCs/>
        </w:rPr>
        <w:t xml:space="preserve">Table B</w:t>
      </w:r>
      <w:r>
        <w:t xml:space="preserve"> </w:t>
      </w:r>
      <w:r>
        <w:t xml:space="preserve">is the same information as a grid: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primary,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secondary or complement,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access mode,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contraindicated or guarded, a dot for no pairing in the text. Each row carries the Connect it lives in and each protocol its Companion level where Volume 5 states one.</w:t>
      </w:r>
    </w:p>
    <w:p>
      <w:pPr>
        <w:pStyle w:val="BodyText"/>
      </w:pPr>
      <w:r>
        <w:t xml:space="preserve">Three things the Map says to hold at once, which no grid can: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blocked,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this person is reached, and</w:t>
      </w:r>
      <w:r>
        <w:t xml:space="preserve"> </w:t>
      </w:r>
      <w:r>
        <w:rPr>
          <w:i/>
          <w:iCs/>
        </w:rPr>
        <w:t xml:space="preserve">what governs from upstream</w:t>
      </w:r>
      <w:r>
        <w:t xml:space="preserve">. The last two are rows 9 and 10 and the access-mode column. Read them before the knot rows, because a standing agreement or an occupied throne keeps every other knot re-forming.</w:t>
      </w:r>
    </w:p>
    <w:bookmarkEnd w:id="9"/>
    <w:bookmarkStart w:id="10" w:name="table-a-row-by-row"/>
    <w:p>
      <w:pPr>
        <w:pStyle w:val="Heading1"/>
      </w:pPr>
      <w:r>
        <w:t xml:space="preserve">Table A — Row by row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44"/>
        <w:gridCol w:w="1255"/>
        <w:gridCol w:w="338"/>
        <w:gridCol w:w="1448"/>
        <w:gridCol w:w="1545"/>
        <w:gridCol w:w="1207"/>
        <w:gridCol w:w="1545"/>
        <w:gridCol w:w="434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#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What is blocked (where diagnosed)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Connect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Primary tool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Complement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Access mode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Guard or contraindication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Companion level of the primary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Heart soil</w:t>
            </w:r>
            <w:r>
              <w:rPr>
                <w:sz w:val="16"/>
              </w:rPr>
              <w:t xml:space="preserve">, the four conditions of reception (Exp 1)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Self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The Sower-soil self-read itself; routes to rows 2–8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A26 Tell Your Story; A28 PROAPT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Verbal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Never disclosed as a level or a verdict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Grief knot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(Exp 2)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Self, Others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Grief Recovery: Loss Graph and completion letters, then TPM completes it in the memory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A32 Hot Seat for the body’s witness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B11 Ideal Support Figure for tender grief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A15 the 7×7 mortality process is contraindicated in fresh grief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Grief Recovery is an import, Part III; B11 level not stated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Shame knot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(Exp 2)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Self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Gold and Shadow work, A30 Shadow Mission, then inner-healing prayer for the lie under the shame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A24 Blessing Receiving with the God-Split, when a shaming voice has replaced the Lord’s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B11 for shame too tender for direct shadow work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B11’s guard: never let the imagined figure stand in for the Father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A24 II; A30 II for the full arc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Fear knot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(Exp 2)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Self, God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Somatic entry first, B14 Kinesthetic Metaphor or the Garden of Your Heart relaxation, then TPM to the originating memory and its lie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A33 What’s at Risk for forward-looking fear, the imagined-versus-known move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B14 is the access mode itself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B14 not during dissociation, active flashback, or trauma activation; generic reassurance does not release a fear knot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A33 I basic, II for imagined-versus-known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Anger knot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(Exp 2)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Others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Full naming in a safe container, psychodrama or voice dialogue under the B12 Process Work recipe, then the forgiveness prayer of Exp 6B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A32 Hot Seat; B17 PIES for the clearing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Verbal, witnessed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Forgiveness attempted before naming produces suppression, not release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Psychodrama and voice dialogue are imports, Part III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Sin blockage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(Exp 4)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God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Confession, specific and owned, without self-justification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Confession to one another, James 5:16, inside the container of Exp 8; A32 Hot Seat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Verbal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Not a tool to apply to a wound; wound and sin call for different responses (Exp 1B)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Believing a lie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(Exp 3)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Self, God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TPM: emotion to memory to lie to the Spirit’s truth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A29 Any Doubts, for a truth assented to but not trusted; A33 for a forward-looking lie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Verbal, imaginal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TPM is an import under the tool-import discipline; the Companion frames, the Spirit speaks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TPM Part III; A29 I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Doubt</w:t>
            </w:r>
            <w:r>
              <w:rPr>
                <w:sz w:val="16"/>
              </w:rPr>
              <w:t xml:space="preserve">, assent without lived trust (Exp 7)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God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A29 Any Doubts, standard form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A28 PROAPT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Verbal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The mission variant of A29 ends in peace, not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“no more doubts”</w:t>
            </w:r>
            <w:r>
              <w:rPr>
                <w:sz w:val="16"/>
              </w:rPr>
              <w:t xml:space="preserve">; do not confuse the two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I, II for the deeper form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Standing interior agreement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(Exp 2C), upstream governor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Self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A25 Breaking the Contracts: adult renunciation in the authority of the Lord, in community, before witnesses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Then the knot tools of rows 2–5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Renounce first; the agreement binds across knot types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Not a knot tool; if the knots keep re-forming, look here and at row 10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II or III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Idol on the throne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(FL.III; Exp 6 governing axis)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God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Keller’s question, explicit renunciation, Spirit-led re-enthronement of Christ (Col. 3:1–4)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The knot tools, which will not hold until this is done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Verbal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The tell is knots re-forming across cycles of clearing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No numbered protocol exists.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The most upstream blockage has the least written tooling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Wound, false self, blessing deficit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(Exp 1B, 2A)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Self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Inner healing in the Payne and Bennett tradition, brought to the Lord in the memory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A24 Blessing Receiving; A27 Who Are You for identity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B11 Ideal Support Figure at the blessing-deficit axis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Do not treat a wound as a sin; kintsugi, not the ink stain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Inner healing is an import, Part III; no Part VI protocol of its own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Closed or undeveloped hearing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(Exp 7, developmental)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God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A28 Heart Bible Study with PROAPT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Garden of Your Heart; B18 Heart Prayer Time; the Footprints exercise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Verbal and imaginal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B18 not in dissociation or acute crisis; not a substitute for clinical care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Mission fog or a stuck decision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(Exp 5; the Mission Connect)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Mission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The Mission-Arc family, A27 Who Are You, A30 Shadow Mission, A31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A33 What’s at Risk; A21 Say Your Mission; A16 Group Mission of Service for a body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Verbal, in the circle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The Mission Connect only works when Self, Others, and God are real (Exp 5)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II for the full arc, I for single protocols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Corporate knot</w:t>
            </w:r>
            <w:r>
              <w:rPr>
                <w:sz w:val="16"/>
              </w:rPr>
              <w:t xml:space="preserve">, what a body knows and will not say (Interrogating Reality; FL.XLVI)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Others, as a body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Interrogating Reality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A32 Hot Seat for one member; B17 PIES in the clearings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Spoken in the body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Truth without love wounds; love without truth flatters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Not stated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Beyond the tools</w:t>
            </w:r>
            <w:r>
              <w:rPr>
                <w:sz w:val="16"/>
              </w:rPr>
              <w:t xml:space="preserve">: acute crisis, abuse, trauma at depth, active flashback (Exp 8; B15)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All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Stop and refer to licensed care; B15 Pull-out Work only to contain an active flashback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The door out; the crisis protocol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None; containment only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Every tool above is contraindicated here; B15 only by a Level III Companion in a body with robust container competency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III, then refer</w:t>
            </w:r>
          </w:p>
        </w:tc>
      </w:tr>
    </w:tbl>
    <w:p>
      <w:pPr>
        <w:pStyle w:val="BodyText"/>
      </w:pPr>
      <w:r>
        <w:t xml:space="preserve">Two things sit above the rows. The</w:t>
      </w:r>
      <w:r>
        <w:t xml:space="preserve"> </w:t>
      </w:r>
      <w:r>
        <w:rPr>
          <w:b/>
          <w:bCs/>
        </w:rPr>
        <w:t xml:space="preserve">Kingdom-gap</w:t>
      </w:r>
      <w:r>
        <w:t xml:space="preserve"> </w:t>
      </w:r>
      <w:r>
        <w:t xml:space="preserve">question is a work-selection lens, not a tool: it surfaces which row has energy tonight and routes into the table. The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(Exp 8) and the</w:t>
      </w:r>
      <w:r>
        <w:t xml:space="preserve"> </w:t>
      </w:r>
      <w:r>
        <w:rPr>
          <w:b/>
          <w:bCs/>
        </w:rPr>
        <w:t xml:space="preserve">session liturgy</w:t>
      </w:r>
      <w:r>
        <w:t xml:space="preserve"> </w:t>
      </w:r>
      <w:r>
        <w:t xml:space="preserve">(Exp 8B) are the precondition for every row; B13’s front-and-back team structure and A13 and A14’s closing and de-roling belong to the session, not to any one blockage.</w:t>
      </w:r>
    </w:p>
    <w:bookmarkEnd w:id="10"/>
    <w:bookmarkStart w:id="11" w:name="table-b-the-grid"/>
    <w:p>
      <w:pPr>
        <w:pStyle w:val="Heading1"/>
      </w:pPr>
      <w:r>
        <w:t xml:space="preserve">Table B — The grid</w:t>
      </w:r>
    </w:p>
    <w:p>
      <w:pPr>
        <w:pStyle w:val="FirstParagraph"/>
      </w:pPr>
      <w:r>
        <w:t xml:space="preserve">Rows are the blockages by number above.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primary ·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secondary ·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access mode ·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contraindicated or guarded ·</w:t>
      </w:r>
      <w:r>
        <w:t xml:space="preserve"> </w:t>
      </w:r>
      <w:r>
        <w:rPr>
          <w:b/>
          <w:bCs/>
        </w:rPr>
        <w:t xml:space="preserve">·</w:t>
      </w:r>
      <w:r>
        <w:t xml:space="preserve"> </w:t>
      </w:r>
      <w:r>
        <w:t xml:space="preserve">no pairing in the text.</w:t>
      </w:r>
    </w:p>
    <w:p>
      <w:pPr>
        <w:pStyle w:val="BodyText"/>
      </w:pPr>
      <w:r>
        <w:t xml:space="preserve">Column key:</w:t>
      </w:r>
      <w:r>
        <w:t xml:space="preserve"> </w:t>
      </w:r>
      <w:r>
        <w:rPr>
          <w:b/>
          <w:bCs/>
        </w:rPr>
        <w:t xml:space="preserve">GRH</w:t>
      </w:r>
      <w:r>
        <w:t xml:space="preserve"> </w:t>
      </w:r>
      <w:r>
        <w:t xml:space="preserve">Grief Recovery ·</w:t>
      </w:r>
      <w:r>
        <w:t xml:space="preserve"> </w:t>
      </w:r>
      <w:r>
        <w:rPr>
          <w:b/>
          <w:bCs/>
        </w:rPr>
        <w:t xml:space="preserve">TPM</w:t>
      </w:r>
      <w:r>
        <w:t xml:space="preserve"> </w:t>
      </w:r>
      <w:r>
        <w:t xml:space="preserve">Transformation Prayer ·</w:t>
      </w:r>
      <w:r>
        <w:t xml:space="preserve"> </w:t>
      </w:r>
      <w:r>
        <w:rPr>
          <w:b/>
          <w:bCs/>
        </w:rPr>
        <w:t xml:space="preserve">G/S</w:t>
      </w:r>
      <w:r>
        <w:t xml:space="preserve"> </w:t>
      </w:r>
      <w:r>
        <w:t xml:space="preserve">Gold and Shadow with A30 ·</w:t>
      </w:r>
      <w:r>
        <w:t xml:space="preserve"> </w:t>
      </w:r>
      <w:r>
        <w:rPr>
          <w:b/>
          <w:bCs/>
        </w:rPr>
        <w:t xml:space="preserve">PD</w:t>
      </w:r>
      <w:r>
        <w:t xml:space="preserve"> </w:t>
      </w:r>
      <w:r>
        <w:t xml:space="preserve">psychodrama and voice dialogue ·</w:t>
      </w:r>
      <w:r>
        <w:t xml:space="preserve"> </w:t>
      </w:r>
      <w:r>
        <w:rPr>
          <w:b/>
          <w:bCs/>
        </w:rPr>
        <w:t xml:space="preserve">Conf</w:t>
      </w:r>
      <w:r>
        <w:t xml:space="preserve"> </w:t>
      </w:r>
      <w:r>
        <w:t xml:space="preserve">confession ·</w:t>
      </w:r>
      <w:r>
        <w:t xml:space="preserve"> </w:t>
      </w:r>
      <w:r>
        <w:rPr>
          <w:b/>
          <w:bCs/>
        </w:rPr>
        <w:t xml:space="preserve">IH</w:t>
      </w:r>
      <w:r>
        <w:t xml:space="preserve"> </w:t>
      </w:r>
      <w:r>
        <w:t xml:space="preserve">inner healing ·</w:t>
      </w:r>
      <w:r>
        <w:t xml:space="preserve"> </w:t>
      </w:r>
      <w:r>
        <w:rPr>
          <w:b/>
          <w:bCs/>
        </w:rPr>
        <w:t xml:space="preserve">Gdn</w:t>
      </w:r>
      <w:r>
        <w:t xml:space="preserve"> </w:t>
      </w:r>
      <w:r>
        <w:t xml:space="preserve">Garden of Your Heart ·</w:t>
      </w:r>
      <w:r>
        <w:t xml:space="preserve"> </w:t>
      </w:r>
      <w:r>
        <w:rPr>
          <w:b/>
          <w:bCs/>
        </w:rPr>
        <w:t xml:space="preserve">A24</w:t>
      </w:r>
      <w:r>
        <w:t xml:space="preserve"> </w:t>
      </w:r>
      <w:r>
        <w:t xml:space="preserve">Blessing Receiving ·</w:t>
      </w:r>
      <w:r>
        <w:t xml:space="preserve"> </w:t>
      </w:r>
      <w:r>
        <w:rPr>
          <w:b/>
          <w:bCs/>
        </w:rPr>
        <w:t xml:space="preserve">A25</w:t>
      </w:r>
      <w:r>
        <w:t xml:space="preserve"> </w:t>
      </w:r>
      <w:r>
        <w:t xml:space="preserve">Breaking the Contracts ·</w:t>
      </w:r>
      <w:r>
        <w:t xml:space="preserve"> </w:t>
      </w:r>
      <w:r>
        <w:rPr>
          <w:b/>
          <w:bCs/>
        </w:rPr>
        <w:t xml:space="preserve">A26</w:t>
      </w:r>
      <w:r>
        <w:t xml:space="preserve"> </w:t>
      </w:r>
      <w:r>
        <w:t xml:space="preserve">Tell Your Story ·</w:t>
      </w:r>
      <w:r>
        <w:t xml:space="preserve"> </w:t>
      </w:r>
      <w:r>
        <w:rPr>
          <w:b/>
          <w:bCs/>
        </w:rPr>
        <w:t xml:space="preserve">A28</w:t>
      </w:r>
      <w:r>
        <w:t xml:space="preserve"> </w:t>
      </w:r>
      <w:r>
        <w:t xml:space="preserve">PROAPT ·</w:t>
      </w:r>
      <w:r>
        <w:t xml:space="preserve"> </w:t>
      </w:r>
      <w:r>
        <w:rPr>
          <w:b/>
          <w:bCs/>
        </w:rPr>
        <w:t xml:space="preserve">A29</w:t>
      </w:r>
      <w:r>
        <w:t xml:space="preserve"> </w:t>
      </w:r>
      <w:r>
        <w:t xml:space="preserve">Any Doubts ·</w:t>
      </w:r>
      <w:r>
        <w:t xml:space="preserve"> </w:t>
      </w:r>
      <w:r>
        <w:rPr>
          <w:b/>
          <w:bCs/>
        </w:rPr>
        <w:t xml:space="preserve">A32</w:t>
      </w:r>
      <w:r>
        <w:t xml:space="preserve"> </w:t>
      </w:r>
      <w:r>
        <w:t xml:space="preserve">Hot Seat ·</w:t>
      </w:r>
      <w:r>
        <w:t xml:space="preserve"> </w:t>
      </w:r>
      <w:r>
        <w:rPr>
          <w:b/>
          <w:bCs/>
        </w:rPr>
        <w:t xml:space="preserve">A33</w:t>
      </w:r>
      <w:r>
        <w:t xml:space="preserve"> </w:t>
      </w:r>
      <w:r>
        <w:t xml:space="preserve">What’s at Risk ·</w:t>
      </w:r>
      <w:r>
        <w:t xml:space="preserve"> </w:t>
      </w:r>
      <w:r>
        <w:rPr>
          <w:b/>
          <w:bCs/>
        </w:rPr>
        <w:t xml:space="preserve">Arc</w:t>
      </w:r>
      <w:r>
        <w:t xml:space="preserve"> </w:t>
      </w:r>
      <w:r>
        <w:t xml:space="preserve">Mission Arc A27/A31 ·</w:t>
      </w:r>
      <w:r>
        <w:t xml:space="preserve"> </w:t>
      </w:r>
      <w:r>
        <w:rPr>
          <w:b/>
          <w:bCs/>
        </w:rPr>
        <w:t xml:space="preserve">A15</w:t>
      </w:r>
      <w:r>
        <w:t xml:space="preserve"> </w:t>
      </w:r>
      <w:r>
        <w:t xml:space="preserve">7×7 ·</w:t>
      </w:r>
      <w:r>
        <w:t xml:space="preserve"> </w:t>
      </w:r>
      <w:r>
        <w:rPr>
          <w:b/>
          <w:bCs/>
        </w:rPr>
        <w:t xml:space="preserve">B11</w:t>
      </w:r>
      <w:r>
        <w:t xml:space="preserve"> </w:t>
      </w:r>
      <w:r>
        <w:t xml:space="preserve">Ideal Support Figure ·</w:t>
      </w:r>
      <w:r>
        <w:t xml:space="preserve"> </w:t>
      </w:r>
      <w:r>
        <w:rPr>
          <w:b/>
          <w:bCs/>
        </w:rPr>
        <w:t xml:space="preserve">B14</w:t>
      </w:r>
      <w:r>
        <w:t xml:space="preserve"> </w:t>
      </w:r>
      <w:r>
        <w:t xml:space="preserve">Kinesthetic Metaphor ·</w:t>
      </w:r>
      <w:r>
        <w:t xml:space="preserve"> </w:t>
      </w:r>
      <w:r>
        <w:rPr>
          <w:b/>
          <w:bCs/>
        </w:rPr>
        <w:t xml:space="preserve">B15</w:t>
      </w:r>
      <w:r>
        <w:t xml:space="preserve"> </w:t>
      </w:r>
      <w:r>
        <w:t xml:space="preserve">Pull-out Work ·</w:t>
      </w:r>
      <w:r>
        <w:t xml:space="preserve"> </w:t>
      </w:r>
      <w:r>
        <w:rPr>
          <w:b/>
          <w:bCs/>
        </w:rPr>
        <w:t xml:space="preserve">B17</w:t>
      </w:r>
      <w:r>
        <w:t xml:space="preserve"> </w:t>
      </w:r>
      <w:r>
        <w:t xml:space="preserve">PIES ·</w:t>
      </w:r>
      <w:r>
        <w:t xml:space="preserve"> </w:t>
      </w:r>
      <w:r>
        <w:rPr>
          <w:b/>
          <w:bCs/>
        </w:rPr>
        <w:t xml:space="preserve">B18</w:t>
      </w:r>
      <w:r>
        <w:t xml:space="preserve"> </w:t>
      </w:r>
      <w:r>
        <w:t xml:space="preserve">Heart Prayer Time ·</w:t>
      </w:r>
      <w:r>
        <w:t xml:space="preserve"> </w:t>
      </w:r>
      <w:r>
        <w:rPr>
          <w:b/>
          <w:bCs/>
        </w:rPr>
        <w:t xml:space="preserve">IR</w:t>
      </w:r>
      <w:r>
        <w:t xml:space="preserve"> </w:t>
      </w:r>
      <w:r>
        <w:t xml:space="preserve">Interrogating Reality.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175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Blockage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GRH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TPM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G/S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PD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Conf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IH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Gdn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A24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A25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A26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A28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A29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A32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A33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Arc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A15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B11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B14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B15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B17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B18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IR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 Soil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2 Grief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3 Shame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4 Fear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5 Anger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6 Sin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7 Lie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8 Doubt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9 Agreement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10 Idol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11 Wound / false self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12 Hearing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13 Mission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14 Corporate knot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·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15 Beyond the tools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X</w:t>
            </w:r>
          </w:p>
        </w:tc>
      </w:tr>
    </w:tbl>
    <w:p>
      <w:pPr>
        <w:pStyle w:val="BodyText"/>
      </w:pPr>
      <w:r>
        <w:t xml:space="preserve">Row 10’s two S marks are the renunciation move that A25 and confession supply in part; no protocol names the idol as its target. Row 13’s A15 mark is the 7×7 process at a life-stage transition. A16, A21, and A22 are omitted from the grid as body-level and onboarding protocols; A16 and A21 appear in row 13 of Table A.</w:t>
      </w:r>
    </w:p>
    <w:bookmarkEnd w:id="11"/>
    <w:bookmarkStart w:id="12" w:name="what-the-grid-makes-visible"/>
    <w:p>
      <w:pPr>
        <w:pStyle w:val="Heading1"/>
      </w:pPr>
      <w:r>
        <w:t xml:space="preserve">What the grid makes visible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most upstream blockage has the least tooling.</w:t>
      </w:r>
      <w:r>
        <w:t xml:space="preserve"> </w:t>
      </w:r>
      <w:r>
        <w:t xml:space="preserve">Row 10, the idol on the throne, is the governor the Map says keeps every other knot re-forming, and it has no numbered protocol. The move is described in prose in Exploration 6 and borrowed in part from A25 and confession. This is the clearest gap on the 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rows lean on imports that were never written down in Part VI.</w:t>
      </w:r>
      <w:r>
        <w:t xml:space="preserve"> </w:t>
      </w:r>
      <w:r>
        <w:t xml:space="preserve">Wound and false-self work (row 11) runs on Payne and Bennett inner healing, and anger work (row 5) runs on psychodrama and voice dialogue. Both are Part III sources under the tool-import discipline; neither has an A-numbered operational form. The Companion runs them from lineage, not from a 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A-list protocols have no clearing row of their own.</w:t>
      </w:r>
      <w:r>
        <w:t xml:space="preserve"> </w:t>
      </w:r>
      <w:r>
        <w:t xml:space="preserve">A22 onboarding, A16 the group mission, and A21 saying your mission serve the body or the Mission Connect rather than a blockage; that is right, and the grid shows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column is a wall of X.</w:t>
      </w:r>
      <w:r>
        <w:t xml:space="preserve"> </w:t>
      </w:r>
      <w:r>
        <w:t xml:space="preserve">Row 15 is the outer limit the Map names in its first paragraph. Every tool is contraindicated there except containment, and containment is a Level III specialty followed by a referral.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Contraindications are uneven.</w:t>
      </w:r>
      <w:r>
        <w:t xml:space="preserve"> </w:t>
      </w:r>
      <w:r>
        <w:t xml:space="preserve">The B-list entries state their when-not conditions clearly; several A-list entries carry a when-not section that this draft did not verify cell by cell. Those cells are left unmarked rather than guessed.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primary in rows 2, 3, 4, and 7 ends at the same place.</w:t>
      </w:r>
      <w:r>
        <w:t xml:space="preserve"> </w:t>
      </w:r>
      <w:r>
        <w:t xml:space="preserve">The Spirit speaking truth into a memory, whether reached by grief, shame, fear, or the lie directly. That is the Map’s own law restated as a pattern: different doors, one Healer.</w:t>
      </w:r>
    </w:p>
    <w:bookmarkEnd w:id="12"/>
    <w:bookmarkStart w:id="13" w:name="what-this-page-is-not"/>
    <w:p>
      <w:pPr>
        <w:pStyle w:val="Heading1"/>
      </w:pPr>
      <w:r>
        <w:t xml:space="preserve">What this page is not</w:t>
      </w:r>
    </w:p>
    <w:p>
      <w:pPr>
        <w:pStyle w:val="FirstParagraph"/>
      </w:pPr>
      <w:r>
        <w:t xml:space="preserve">It is not the Map. Exploration 6 says the right entry point can never be reduced to a chart, and this chart agrees; it is an index into the chapters, kept so that gaps and contraindications are visible, and so that each pairing can be tested as the claim it is. A Companion at Level 1 or 2 will use it in the order it is printed. The discernment the Map asks for is a Stage 4 competency, and no grid supplies it.</w:t>
      </w:r>
    </w:p>
    <w:bookmarkEnd w:id="13"/>
    <w:sectPr>
      <w:footnotePr>
        <w:numRestart w:val="eachSect"/>
      </w:footnotePr>
      <w:pgSz w:orient="landscape" w:w="15840" w:h="12240"/>
      <w:pgMar w:left="720" w:right="720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/>
    </w:pPr>
    <w:rPr>
      <w:sz w:val="19"/>
    </w:rPr>
  </w:style>
  <w:style w:styleId="BodyText" w:type="paragraph">
    <w:name w:val="Body Text"/>
    <w:basedOn w:val="Normal"/>
    <w:link w:val="BodyTextChar"/>
    <w:qFormat/>
    <w:pPr>
      <w:spacing w:after="60" w:before="180"/>
    </w:pPr>
    <w:rPr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60"/>
    </w:pPr>
    <w:rPr>
      <w:sz w:val="19"/>
    </w:rPr>
  </w:style>
  <w:style w:customStyle="1" w:styleId="Compact" w:type="paragraph">
    <w:name w:val="Compact"/>
    <w:basedOn w:val="BodyText"/>
    <w:qFormat/>
    <w:pPr>
      <w:spacing w:after="60" w:before="36"/>
    </w:pPr>
    <w:rPr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Tool Map Matrix</dc:title>
  <dc:creator>John G. Tittle</dc:creator>
  <cp:keywords/>
  <dcterms:created xsi:type="dcterms:W3CDTF">2026-09-05T17:11:08Z</dcterms:created>
  <dcterms:modified xsi:type="dcterms:W3CDTF">2026-09-05T17:11:08Z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v1 — 5 September 2026</vt:lpwstr>
  </property>
  <property fmtid="{D5CDD505-2E9C-101B-9397-08002B2CF9AE}" pid="3" name="subtitle">
    <vt:lpwstr>What is blocked, laid against what clears it — Volume 2 Exploration 6 and Volume 5 Part VI on one page</vt:lpwstr>
  </property>
</Properties>
</file>