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Peer Review of TA — </w:t>
      </w:r>
      <w:r>
        <w:rPr>
          <w:i/>
          <w:iCs/>
        </w:rPr>
        <w:t xml:space="preserve">Theological Anthropology of the Heart, Spirit, Soul, and Mind</w:t>
      </w:r>
    </w:p>
    <w:p>
      <w:pPr>
        <w:pStyle w:val="Heading2"/>
      </w:pPr>
      <w:r>
        <w:t xml:space="preserve">A seven-author charitable-strengthening review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What this is.</w:t>
      </w:r>
      <w:r>
        <w:t xml:space="preserve"> A </w:t>
      </w:r>
      <w:r>
        <w:rPr>
          <w:i/>
          <w:iCs/>
        </w:rPr>
        <w:t xml:space="preserve">simulated</w:t>
      </w:r>
      <w:r>
        <w:t xml:space="preserve"> peer review: each section reasons in the documented theology of seven figures, in the two panels used on Vol 1 — </w:t>
      </w:r>
      <w:r>
        <w:rPr>
          <w:b/>
          <w:bCs/>
        </w:rPr>
        <w:t xml:space="preserve">academic</w:t>
      </w:r>
      <w:r>
        <w:t xml:space="preserve">: </w:t>
      </w:r>
      <w:r>
        <w:rPr>
          <w:b/>
          <w:bCs/>
        </w:rPr>
        <w:t xml:space="preserve">Timothy Keller</w:t>
      </w:r>
      <w:r>
        <w:t xml:space="preserve"> (Reformed), </w:t>
      </w:r>
      <w:r>
        <w:rPr>
          <w:b/>
          <w:bCs/>
        </w:rPr>
        <w:t xml:space="preserve">John Stott</w:t>
      </w:r>
      <w:r>
        <w:t xml:space="preserve"> (evangelical/expositor), </w:t>
      </w:r>
      <w:r>
        <w:rPr>
          <w:b/>
          <w:bCs/>
        </w:rPr>
        <w:t xml:space="preserve">Gordon D. Fee</w:t>
      </w:r>
      <w:r>
        <w:t xml:space="preserve"> (Pentecostal NT scholar), </w:t>
      </w:r>
      <w:r>
        <w:rPr>
          <w:b/>
          <w:bCs/>
        </w:rPr>
        <w:t xml:space="preserve">Dallas Willard</w:t>
      </w:r>
      <w:r>
        <w:t xml:space="preserve"> (contemplative); </w:t>
      </w:r>
      <w:r>
        <w:rPr>
          <w:b/>
          <w:bCs/>
        </w:rPr>
        <w:t xml:space="preserve">companion</w:t>
      </w:r>
      <w:r>
        <w:t xml:space="preserve">: </w:t>
      </w:r>
      <w:r>
        <w:rPr>
          <w:b/>
          <w:bCs/>
        </w:rPr>
        <w:t xml:space="preserve">Richard Foster</w:t>
      </w:r>
      <w:r>
        <w:t xml:space="preserve"> (contemplative/Renovaré), </w:t>
      </w:r>
      <w:r>
        <w:rPr>
          <w:b/>
          <w:bCs/>
        </w:rPr>
        <w:t xml:space="preserve">John Eldredge</w:t>
      </w:r>
      <w:r>
        <w:t xml:space="preserve"> (heart/desire), </w:t>
      </w:r>
      <w:r>
        <w:rPr>
          <w:b/>
          <w:bCs/>
        </w:rPr>
        <w:t xml:space="preserve">Derek Prince</w:t>
      </w:r>
      <w:r>
        <w:t xml:space="preserve"> (Word-and-Spirit/Pentecostal). Posture: </w:t>
      </w:r>
      <w:r>
        <w:rPr>
          <w:b/>
          <w:bCs/>
        </w:rPr>
        <w:t xml:space="preserve">charitable strengthening</w:t>
      </w:r>
      <w:r>
        <w:t xml:space="preserve"> — make the paper the strongest it can be by each tradition's lights, naming what each affirms, where each presses, and a concrete fix. Scope: the whole TA paper. It is a stress-test, </w:t>
      </w:r>
      <w:r>
        <w:rPr>
          <w:b/>
          <w:bCs/>
        </w:rPr>
        <w:t xml:space="preserve">not</w:t>
      </w:r>
      <w:r>
        <w:t xml:space="preserve"> an endorsement.</w:t>
      </w:r>
    </w:p>
    <w:p>
      <w:pPr>
        <w:pBdr>
          <w:left w:val="single" w:color="B0B7C0" w:sz="12" w:space="8"/>
        </w:pBdr>
        <w:spacing w:after="80"/>
        <w:ind w:left="480"/>
      </w:pPr>
      <w:r>
        <w:rPr>
          <w:b/>
          <w:bCs/>
        </w:rPr>
        <w:t xml:space="preserve">Two wrinkles unique to TA.</w:t>
      </w:r>
      <w:r>
        <w:t xml:space="preserve"> (1) TA is an </w:t>
      </w:r>
      <w:r>
        <w:rPr>
          <w:b/>
          <w:bCs/>
        </w:rPr>
        <w:t xml:space="preserve">academic paper</w:t>
      </w:r>
      <w:r>
        <w:t xml:space="preserve">, not a popular book — so the reviewers engage its </w:t>
      </w:r>
      <w:r>
        <w:rPr>
          <w:i/>
          <w:iCs/>
        </w:rPr>
        <w:t xml:space="preserve">argument and exegesis</w:t>
      </w:r>
      <w:r>
        <w:t xml:space="preserve">, not its register. (2) *</w:t>
      </w:r>
      <w:r>
        <w:rPr>
          <w:i/>
          <w:iCs/>
        </w:rPr>
        <w:t xml:space="preserve">Willard and Foster are cited </w:t>
      </w:r>
      <w:r>
        <w:t xml:space="preserve">sources</w:t>
      </w:r>
      <w:r>
        <w:rPr>
          <w:i/>
          <w:iCs/>
        </w:rPr>
        <w:t xml:space="preserve"> in TA</w:t>
      </w:r>
      <w:r>
        <w:rPr>
          <w:i/>
          <w:iCs/>
        </w:rPr>
        <w:t xml:space="preserve"> (Willard heavily — the model borrows his </w:t>
      </w:r>
      <w:r>
        <w:t xml:space="preserve">Renovation of the Heart</w:t>
      </w:r>
      <w:r>
        <w:rPr>
          <w:i/>
          <w:iCs/>
        </w:rPr>
        <w:t xml:space="preserve"> schema; Foster's </w:t>
      </w:r>
      <w:r>
        <w:t xml:space="preserve">Celebration of Discipline* is a formation resource) — so their reviews carry the extra weight of "the author you're building on, telling you where you bent him."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Headline verdict (all seven): </w:t>
      </w:r>
      <w:r>
        <w:rPr>
          <w:b/>
          <w:bCs/>
        </w:rPr>
        <w:t xml:space="preserve">commend with revisions — sound spine, four clustered presses + one genuine fault line.</w:t>
      </w:r>
    </w:p>
    <w:p>
      <w:pPr>
        <w:spacing w:after="140"/>
      </w:pPr>
      <w:r>
        <w:t xml:space="preserve">The spine is genuinely good and all seven affirm it: a careful, sources-first, </w:t>
      </w:r>
      <w:r>
        <w:rPr>
          <w:b/>
          <w:bCs/>
        </w:rPr>
        <w:t xml:space="preserve">both/and</w:t>
      </w:r>
      <w:r>
        <w:t xml:space="preserve"> (Trinity-development) anthropology that refuses the either/or, aimed at the </w:t>
      </w:r>
      <w:r>
        <w:rPr>
          <w:i/>
          <w:iCs/>
        </w:rPr>
        <w:t xml:space="preserve">useful</w:t>
      </w:r>
      <w:r>
        <w:t xml:space="preserve"> end of formation training, honest about its own provisional status. Nobody asks you to dismantle it. The presses cluster into four, plus one real disagreement only you can settle: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The gospel/grace/sin frame is thin</w:t>
      </w:r>
      <w:r>
        <w:t xml:space="preserve"> — the anthropology is described somewhat </w:t>
      </w:r>
      <w:r>
        <w:rPr>
          <w:i/>
          <w:iCs/>
        </w:rPr>
        <w:t xml:space="preserve">statically</w:t>
      </w:r>
      <w:r>
        <w:t xml:space="preserve"> (the parts and how to train them) without the fall → regeneration → glorification arc as its frame. (Keller, Stott, Foster, Eldredge — and it is the </w:t>
      </w:r>
      <w:r>
        <w:rPr>
          <w:i/>
          <w:iCs/>
        </w:rPr>
        <w:t xml:space="preserve">same</w:t>
      </w:r>
      <w:r>
        <w:t xml:space="preserve"> "de-mechanize / name grace and the Spirit as agent" fault the Vol 1 panels flagged as #1.)</w:t>
      </w:r>
    </w:p>
    <w:p>
      <w:pPr>
        <w:spacing w:after="140"/>
      </w:pPr>
      <w:r>
        <w:t xml:space="preserve">2. *</w:t>
      </w:r>
      <w:r>
        <w:rPr>
          <w:i/>
          <w:iCs/>
        </w:rPr>
        <w:t xml:space="preserve">The model is a Willard–Nee </w:t>
      </w:r>
      <w:r>
        <w:t xml:space="preserve">hybrid</w:t>
      </w:r>
      <w:r>
        <w:rPr>
          <w:i/>
          <w:iCs/>
        </w:rPr>
        <w:t xml:space="preserve"> that isn't reconciled, and it over-reads the tripartite proof-texts</w:t>
      </w:r>
      <w:r>
        <w:t xml:space="preserve">* (1 Thess. 5:23; Heb. 4:12). (Keller, Fee, Willard.)</w:t>
      </w:r>
    </w:p>
    <w:p>
      <w:pPr>
        <w:spacing w:after="140"/>
      </w:pPr>
      <w:r>
        <w:t xml:space="preserve">3. </w:t>
      </w:r>
      <w:r>
        <w:rPr>
          <w:b/>
          <w:bCs/>
        </w:rPr>
        <w:t xml:space="preserve">Systematizing/measurement humility</w:t>
      </w:r>
      <w:r>
        <w:t xml:space="preserve"> — the nested-circles model (Figure 1) and the "build a Bloom's taxonomy for heart/soul/spirit" plan risk reifying </w:t>
      </w:r>
      <w:r>
        <w:rPr>
          <w:i/>
          <w:iCs/>
        </w:rPr>
        <w:t xml:space="preserve">functional</w:t>
      </w:r>
      <w:r>
        <w:t xml:space="preserve"> biblical terms into measurable </w:t>
      </w:r>
      <w:r>
        <w:rPr>
          <w:i/>
          <w:iCs/>
        </w:rPr>
        <w:t xml:space="preserve">compartments</w:t>
      </w:r>
      <w:r>
        <w:t xml:space="preserve">; guard the unity of the person. (Willard, Foster, Keller.)</w:t>
      </w:r>
    </w:p>
    <w:p>
      <w:pPr>
        <w:spacing w:after="140"/>
      </w:pPr>
      <w:r>
        <w:t xml:space="preserve">4. </w:t>
      </w:r>
      <w:r>
        <w:rPr>
          <w:b/>
          <w:bCs/>
        </w:rPr>
        <w:t xml:space="preserve">Primary exegesis is light</w:t>
      </w:r>
      <w:r>
        <w:t xml:space="preserve"> — the case is argued largely </w:t>
      </w:r>
      <w:r>
        <w:rPr>
          <w:i/>
          <w:iCs/>
        </w:rPr>
        <w:t xml:space="preserve">through authors</w:t>
      </w:r>
      <w:r>
        <w:t xml:space="preserve"> (Mitchell, Kilner, Grudem, Nee, Willard) rather than direct engagement with the load-bearing texts. (Stott, Fee.)</w:t>
      </w:r>
    </w:p>
    <w:p>
      <w:pPr>
        <w:spacing w:after="140"/>
      </w:pPr>
      <w:r>
        <w:rPr>
          <w:b/>
          <w:bCs/>
        </w:rPr>
        <w:t xml:space="preserve">The one fault line you must adjudicate:</w:t>
      </w:r>
      <w:r>
        <w:t xml:space="preserve"> </w:t>
      </w:r>
      <w:r>
        <w:rPr>
          <w:i/>
          <w:iCs/>
        </w:rPr>
        <w:t xml:space="preserve">how hard to lean on the spirit-vs-soul (trichotomy) distinction.</w:t>
      </w:r>
      <w:r>
        <w:t xml:space="preserve"> </w:t>
      </w:r>
      <w:r>
        <w:rPr>
          <w:b/>
          <w:bCs/>
        </w:rPr>
        <w:t xml:space="preserve">Fee and Keller (with Grudem, whom you cite) press you to soften it</w:t>
      </w:r>
      <w:r>
        <w:t xml:space="preserve"> — Scripture's anthropology is largely holistic/functional, and 1 Thess. 5:23 / Heb. 4:12 aren't meant to partition. </w:t>
      </w:r>
      <w:r>
        <w:rPr>
          <w:b/>
          <w:bCs/>
        </w:rPr>
        <w:t xml:space="preserve">Prince presses you to strengthen and ground it</w:t>
      </w:r>
      <w:r>
        <w:t xml:space="preserve"> — for Pentecostal formation the regenerated human spirit as the organ of God-contact is load-bearing. Your </w:t>
      </w:r>
      <w:r>
        <w:rPr>
          <w:b/>
          <w:bCs/>
        </w:rPr>
        <w:t xml:space="preserve">both/and method is itself a reasonable mediator</w:t>
      </w:r>
      <w:r>
        <w:t xml:space="preserve"> — but right now the paper </w:t>
      </w:r>
      <w:r>
        <w:rPr>
          <w:i/>
          <w:iCs/>
        </w:rPr>
        <w:t xml:space="preserve">borrows Nee's trichotomy while citing Grudem's dichotomy</w:t>
      </w:r>
      <w:r>
        <w:t xml:space="preserve"> without owning the choice. The fix is the same either way: </w:t>
      </w:r>
      <w:r>
        <w:rPr>
          <w:b/>
          <w:bCs/>
        </w:rPr>
        <w:t xml:space="preserve">name the decision and defend it.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1 — Cross-panel synthesis</w:t>
      </w:r>
    </w:p>
    <w:p>
      <w:pPr>
        <w:pStyle w:val="Heading3"/>
      </w:pPr>
      <w:r>
        <w:t xml:space="preserve">Where the panels converge (treat as settled)</w:t>
      </w:r>
    </w:p>
    <w:p>
      <w:pPr>
        <w:spacing w:after="140"/>
      </w:pPr>
      <w:r>
        <w:rPr>
          <w:b/>
          <w:bCs/>
        </w:rPr>
        <w:t xml:space="preserve">(A) Put the anthropology inside the gospel.</w:t>
      </w:r>
      <w:r>
        <w:t xml:space="preserve"> The paper's inner-man is described as a set of parts with training targets, but the </w:t>
      </w:r>
      <w:r>
        <w:rPr>
          <w:i/>
          <w:iCs/>
        </w:rPr>
        <w:t xml:space="preserve">condition</w:t>
      </w:r>
      <w:r>
        <w:t xml:space="preserve"> those parts are in goes mostly unnamed: the </w:t>
      </w:r>
      <w:r>
        <w:rPr>
          <w:b/>
          <w:bCs/>
        </w:rPr>
        <w:t xml:space="preserve">fall</w:t>
      </w:r>
      <w:r>
        <w:t xml:space="preserve"> (the heart is not neutral — Jer. 17:9; the noetic effects of sin on the mind; the deadness of the unregenerate spirit, Eph. 2:1), </w:t>
      </w:r>
      <w:r>
        <w:rPr>
          <w:b/>
          <w:bCs/>
        </w:rPr>
        <w:t xml:space="preserve">regeneration</w:t>
      </w:r>
      <w:r>
        <w:t xml:space="preserve"> (the new birth makes the human spirit alive), and </w:t>
      </w:r>
      <w:r>
        <w:rPr>
          <w:b/>
          <w:bCs/>
        </w:rPr>
        <w:t xml:space="preserve">grace</w:t>
      </w:r>
      <w:r>
        <w:t xml:space="preserve"> as the </w:t>
      </w:r>
      <w:r>
        <w:rPr>
          <w:i/>
          <w:iCs/>
        </w:rPr>
        <w:t xml:space="preserve">engine</w:t>
      </w:r>
      <w:r>
        <w:t xml:space="preserve"> of all formation. Without that frame the formation program reads as </w:t>
      </w:r>
      <w:r>
        <w:rPr>
          <w:b/>
          <w:bCs/>
        </w:rPr>
        <w:t xml:space="preserve">faculty-training technique</w:t>
      </w:r>
      <w:r>
        <w:t xml:space="preserve"> — the very thing the Vol 1 reviews flagged. Keller, Stott, Foster, and Eldredge each arrive here from a different door. </w:t>
      </w:r>
      <w:r>
        <w:rPr>
          <w:i/>
          <w:iCs/>
        </w:rPr>
        <w:t xml:space="preserve">Strongest fix: a short "The Inner Man Under the Gospel" section between the model and the formation-implications — fall, regeneration, union with Christ, the Spirit as the personal agent of formation — so every "training" downstream is Spirit-empowered transformation, not self-improvement.</w:t>
      </w:r>
    </w:p>
    <w:p>
      <w:pPr>
        <w:spacing w:after="140"/>
      </w:pPr>
      <w:r>
        <w:rPr>
          <w:b/>
          <w:bCs/>
        </w:rPr>
        <w:t xml:space="preserve">(B) Reconcile the Willard–Nee hybrid; stop leaning the model on the tripartite proof-texts.</w:t>
      </w:r>
      <w:r>
        <w:t xml:space="preserve"> TA fuses two </w:t>
      </w:r>
      <w:r>
        <w:rPr>
          <w:i/>
          <w:iCs/>
        </w:rPr>
        <w:t xml:space="preserve">incompatible</w:t>
      </w:r>
      <w:r>
        <w:t xml:space="preserve"> schemas: </w:t>
      </w:r>
      <w:r>
        <w:rPr>
          <w:b/>
          <w:bCs/>
        </w:rPr>
        <w:t xml:space="preserve">Willard</w:t>
      </w:r>
      <w:r>
        <w:t xml:space="preserve"> (spirit = will = heart, all the same innermost component) and </w:t>
      </w:r>
      <w:r>
        <w:rPr>
          <w:b/>
          <w:bCs/>
        </w:rPr>
        <w:t xml:space="preserve">Nee</w:t>
      </w:r>
      <w:r>
        <w:t xml:space="preserve"> (spirit ≠ heart; spirit = intuition/communion/conscience, mind/will/emotion = soul). Figure 1 (spirit </w:t>
      </w:r>
      <w:r>
        <w:rPr>
          <w:i/>
          <w:iCs/>
        </w:rPr>
        <w:t xml:space="preserve">inside</w:t>
      </w:r>
      <w:r>
        <w:t xml:space="preserve"> heart; heart and mind </w:t>
      </w:r>
      <w:r>
        <w:rPr>
          <w:i/>
          <w:iCs/>
        </w:rPr>
        <w:t xml:space="preserve">inside</w:t>
      </w:r>
      <w:r>
        <w:t xml:space="preserve"> soul) is a third thing again, and the paper even notes Nee never places the heart, then </w:t>
      </w:r>
      <w:r>
        <w:rPr>
          <w:i/>
          <w:iCs/>
        </w:rPr>
        <w:t xml:space="preserve">adds</w:t>
      </w:r>
      <w:r>
        <w:t xml:space="preserve"> it from "other authors + Kahneman." Keller, Fee, and Willard all want this </w:t>
      </w:r>
      <w:r>
        <w:rPr>
          <w:b/>
          <w:bCs/>
        </w:rPr>
        <w:t xml:space="preserve">owned and defended</w:t>
      </w:r>
      <w:r>
        <w:t xml:space="preserve">, not assumed. And Fee/Keller note the model can't rest on </w:t>
      </w:r>
      <w:r>
        <w:rPr>
          <w:b/>
          <w:bCs/>
        </w:rPr>
        <w:t xml:space="preserve">1 Thess. 5:23</w:t>
      </w:r>
      <w:r>
        <w:t xml:space="preserve"> ("spirit and soul and body" = a comprehensive </w:t>
      </w:r>
      <w:r>
        <w:rPr>
          <w:i/>
          <w:iCs/>
        </w:rPr>
        <w:t xml:space="preserve">whole-self</w:t>
      </w:r>
      <w:r>
        <w:t xml:space="preserve"> benediction, not an ontology) or </w:t>
      </w:r>
      <w:r>
        <w:rPr>
          <w:b/>
          <w:bCs/>
        </w:rPr>
        <w:t xml:space="preserve">Heb. 4:12</w:t>
      </w:r>
      <w:r>
        <w:t xml:space="preserve"> ("dividing soul and spirit" = the Word's </w:t>
      </w:r>
      <w:r>
        <w:rPr>
          <w:i/>
          <w:iCs/>
        </w:rPr>
        <w:t xml:space="preserve">piercing penetration</w:t>
      </w:r>
      <w:r>
        <w:t xml:space="preserve">, not a clean faculty seam). </w:t>
      </w:r>
      <w:r>
        <w:rPr>
          <w:i/>
          <w:iCs/>
        </w:rPr>
        <w:t xml:space="preserve">Fix: a paragraph that (a) states plainly which schema you adopt and why, (b) defends the heart-as-distinct move on its own scriptural feet, and (c) reads 1 Thess. 5:23 / Heb. 4:12 as holistic/penetrative rather than partitioning.</w:t>
      </w:r>
    </w:p>
    <w:p>
      <w:pPr>
        <w:spacing w:after="140"/>
      </w:pPr>
      <w:r>
        <w:rPr>
          <w:b/>
          <w:bCs/>
        </w:rPr>
        <w:t xml:space="preserve">(C) Keep the systematizing humble; guard the unity.</w:t>
      </w:r>
      <w:r>
        <w:t xml:space="preserve"> The nested-circles diagram and the proposal to "develop Bloom's Taxonomy for each of heart, soul, and spirit" are the paper's most ambitious move — and its most exposed. Willard, Foster, and Keller all warn: the </w:t>
      </w:r>
      <w:r>
        <w:rPr>
          <w:b/>
          <w:bCs/>
        </w:rPr>
        <w:t xml:space="preserve">mind</w:t>
      </w:r>
      <w:r>
        <w:t xml:space="preserve"> may submit to a cognitive measurement taxonomy; the </w:t>
      </w:r>
      <w:r>
        <w:rPr>
          <w:b/>
          <w:bCs/>
        </w:rPr>
        <w:t xml:space="preserve">heart and human spirit may not</w:t>
      </w:r>
      <w:r>
        <w:t xml:space="preserve">, and a model that reifies functional terms into nested, separately-measurable parts can quietly become </w:t>
      </w:r>
      <w:r>
        <w:rPr>
          <w:b/>
          <w:bCs/>
        </w:rPr>
        <w:t xml:space="preserve">faculty psychology</w:t>
      </w:r>
      <w:r>
        <w:t xml:space="preserve"> at odds with the unity of the imago-Dei person the paper itself affirms. </w:t>
      </w:r>
      <w:r>
        <w:rPr>
          <w:i/>
          <w:iCs/>
        </w:rPr>
        <w:t xml:space="preserve">Fix: explicitly flag Figure 1 as a heuristic (you already say "diagrams are always incomplete" — promote that caveat), and frame the per-faculty taxonomies as </w:t>
      </w:r>
      <w:r>
        <w:rPr>
          <w:i/>
          <w:iCs/>
        </w:rPr>
        <w:t xml:space="preserve">provisional aspirations</w:t>
      </w:r>
      <w:r>
        <w:rPr>
          <w:i/>
          <w:iCs/>
        </w:rPr>
        <w:t xml:space="preserve">, with an explicit "the immeasurable parts stay partly immeasurable" guard (1 Cor. 8:1, knowledge puffs up).</w:t>
      </w:r>
    </w:p>
    <w:p>
      <w:pPr>
        <w:spacing w:after="140"/>
      </w:pPr>
      <w:r>
        <w:rPr>
          <w:b/>
          <w:bCs/>
        </w:rPr>
        <w:t xml:space="preserve">(D) Add primary exegesis of the load-bearing texts.</w:t>
      </w:r>
      <w:r>
        <w:t xml:space="preserve"> The argument currently runs </w:t>
      </w:r>
      <w:r>
        <w:rPr>
          <w:i/>
          <w:iCs/>
        </w:rPr>
        <w:t xml:space="preserve">through</w:t>
      </w:r>
      <w:r>
        <w:t xml:space="preserve"> secondary voices. Stott (the expositor) and Fee (the NT scholar) want direct engagement with the texts the thesis stands on: the </w:t>
      </w:r>
      <w:r>
        <w:rPr>
          <w:i/>
          <w:iCs/>
        </w:rPr>
        <w:t xml:space="preserve">leb</w:t>
      </w:r>
      <w:r>
        <w:t xml:space="preserve"> range (you have Mitchell — go to the texts), </w:t>
      </w:r>
      <w:r>
        <w:rPr>
          <w:b/>
          <w:bCs/>
        </w:rPr>
        <w:t xml:space="preserve">1 Thess. 5:23</w:t>
      </w:r>
      <w:r>
        <w:t xml:space="preserve">, </w:t>
      </w:r>
      <w:r>
        <w:rPr>
          <w:b/>
          <w:bCs/>
        </w:rPr>
        <w:t xml:space="preserve">Heb. 4:12</w:t>
      </w:r>
      <w:r>
        <w:t xml:space="preserve">, </w:t>
      </w:r>
      <w:r>
        <w:rPr>
          <w:b/>
          <w:bCs/>
        </w:rPr>
        <w:t xml:space="preserve">Rom. 12:2</w:t>
      </w:r>
      <w:r>
        <w:t xml:space="preserve"> (mind), </w:t>
      </w:r>
      <w:r>
        <w:rPr>
          <w:b/>
          <w:bCs/>
        </w:rPr>
        <w:t xml:space="preserve">Prov. 4:23</w:t>
      </w:r>
      <w:r>
        <w:t xml:space="preserve"> (heart as wellspring), </w:t>
      </w:r>
      <w:r>
        <w:rPr>
          <w:b/>
          <w:bCs/>
        </w:rPr>
        <w:t xml:space="preserve">1 Cor. 2:11–16 / 6:17</w:t>
      </w:r>
      <w:r>
        <w:t xml:space="preserve"> (human spirit and the Spirit). </w:t>
      </w:r>
      <w:r>
        <w:rPr>
          <w:i/>
          <w:iCs/>
        </w:rPr>
        <w:t xml:space="preserve">Fix: one "primary-text" pass so the model is shown to </w:t>
      </w:r>
      <w:r>
        <w:t xml:space="preserve">arise from</w:t>
      </w:r>
      <w:r>
        <w:rPr>
          <w:i/>
          <w:iCs/>
        </w:rPr>
        <w:t xml:space="preserve"> Scripture, not just be consistent with authors who read it.</w:t>
      </w:r>
    </w:p>
    <w:p>
      <w:pPr>
        <w:pStyle w:val="Heading3"/>
      </w:pPr>
      <w:r>
        <w:t xml:space="preserve">The divergence only you can settle — the trichotomy fault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"/>
        <w:gridCol w:w="4842"/>
        <w:gridCol w:w="3829"/>
      </w:tblGrid>
      <w:tr>
        <w:trPr>
          <w:tblHeader/>
        </w:trPr>
        <w:tc>
          <w:tcPr>
            <w:tcW w:type="dxa" w:w="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Pushes to </w:t>
            </w:r>
            <w:r>
              <w:rPr>
                <w:b/>
                <w:bCs/>
              </w:rPr>
              <w:t xml:space="preserve">soften</w:t>
            </w:r>
            <w:r>
              <w:t xml:space="preserve"> the spirit/soul line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Pushes to </w:t>
            </w:r>
            <w:r>
              <w:rPr>
                <w:b/>
                <w:bCs/>
              </w:rPr>
              <w:t xml:space="preserve">strengthen</w:t>
            </w:r>
            <w:r>
              <w:t xml:space="preserve"> it</w:t>
            </w:r>
          </w:p>
        </w:tc>
      </w:tr>
      <w:tr>
        <w:tc>
          <w:tcPr>
            <w:tcW w:type="dxa" w:w="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Who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Fee, Keller</w:t>
            </w:r>
            <w:r>
              <w:t xml:space="preserve"> (with Grudem, your own cited source)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Prince</w:t>
            </w:r>
            <w:r>
              <w:t xml:space="preserve"> (and Nee, your backbone)</w:t>
            </w:r>
          </w:p>
        </w:tc>
      </w:tr>
      <w:tr>
        <w:tc>
          <w:tcPr>
            <w:tcW w:type="dxa" w:w="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Why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Hebrew/Pauline anthropology is holistic; the proof-texts don't partition; over-distinction drifts toward the body-bad dualism the paper rightly critiques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regenerated human spirit as the organ of God-contact is load-bearing for Spirit-led formation; 1 Cor. 6:17, Rom. 8:16</w:t>
            </w:r>
          </w:p>
        </w:tc>
      </w:tr>
      <w:tr>
        <w:tc>
          <w:tcPr>
            <w:tcW w:type="dxa" w:w="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Foster / Eldredge</w:t>
            </w:r>
          </w:p>
        </w:tc>
        <w:tc>
          <w:tcPr>
            <w:tcW w:type="dxa" w:w="48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mostly indifferent to the spirit/soul seam — they care about the </w:t>
            </w:r>
            <w:r>
              <w:rPr>
                <w:b/>
                <w:bCs/>
              </w:rPr>
              <w:t xml:space="preserve">heart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same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t xml:space="preserve">Your </w:t>
      </w:r>
      <w:r>
        <w:rPr>
          <w:b/>
          <w:bCs/>
        </w:rPr>
        <w:t xml:space="preserve">both/and (Trinity-development) method is the right instinct</w:t>
      </w:r>
      <w:r>
        <w:t xml:space="preserve"> for exactly this kind of standoff — but it currently </w:t>
      </w:r>
      <w:r>
        <w:rPr>
          <w:i/>
          <w:iCs/>
        </w:rPr>
        <w:t xml:space="preserve">reads as</w:t>
      </w:r>
      <w:r>
        <w:t xml:space="preserve"> unintentional (you cite the dichotomist Grudem and then build a trichotomy-leaning model). Make it </w:t>
      </w:r>
      <w:r>
        <w:rPr>
          <w:i/>
          <w:iCs/>
        </w:rPr>
        <w:t xml:space="preserve">intentional</w:t>
      </w:r>
      <w:r>
        <w:t xml:space="preserve">: "I adopt a functional both/and — the terms name real, distinguishable </w:t>
      </w:r>
      <w:r>
        <w:rPr>
          <w:i/>
          <w:iCs/>
        </w:rPr>
        <w:t xml:space="preserve">aspects</w:t>
      </w:r>
      <w:r>
        <w:t xml:space="preserve"> of one unified person, not separable </w:t>
      </w:r>
      <w:r>
        <w:rPr>
          <w:i/>
          <w:iCs/>
        </w:rPr>
        <w:t xml:space="preserve">substances</w:t>
      </w:r>
      <w:r>
        <w:t xml:space="preserve"> — for the practical purpose of formation training." That single move satisfies Fee/Keller (it's not a substance-trichotomy) </w:t>
      </w:r>
      <w:r>
        <w:rPr>
          <w:b/>
          <w:bCs/>
        </w:rPr>
        <w:t xml:space="preserve">and</w:t>
      </w:r>
      <w:r>
        <w:t xml:space="preserve"> Prince (the spirit is still really distinguishable) at once.</w:t>
      </w:r>
    </w:p>
    <w:p>
      <w:pPr>
        <w:pStyle w:val="Heading3"/>
      </w:pPr>
      <w:r>
        <w:t xml:space="preserve">A note on the heart (Eldredge's solo press)</w:t>
      </w:r>
    </w:p>
    <w:p>
      <w:pPr>
        <w:spacing w:after="140"/>
      </w:pPr>
      <w:r>
        <w:t xml:space="preserve">The paper's heart is defined </w:t>
      </w:r>
      <w:r>
        <w:rPr>
          <w:i/>
          <w:iCs/>
        </w:rPr>
        <w:t xml:space="preserve">functionally</w:t>
      </w:r>
      <w:r>
        <w:t xml:space="preserve"> — seat of will/emotion/thought/life-center, mapped to Kahneman's fast System 1. Eldredge affirms the </w:t>
      </w:r>
      <w:r>
        <w:rPr>
          <w:b/>
          <w:bCs/>
        </w:rPr>
        <w:t xml:space="preserve">recovery of the heart as central</w:t>
      </w:r>
      <w:r>
        <w:t xml:space="preserve"> (against "humans as primarily thinking animals") but finds the definition </w:t>
      </w:r>
      <w:r>
        <w:rPr>
          <w:b/>
          <w:bCs/>
        </w:rPr>
        <w:t xml:space="preserve">clinical</w:t>
      </w:r>
      <w:r>
        <w:t xml:space="preserve">: Scripture's heart is the </w:t>
      </w:r>
      <w:r>
        <w:rPr>
          <w:b/>
          <w:bCs/>
        </w:rPr>
        <w:t xml:space="preserve">wellspring of life to be guarded</w:t>
      </w:r>
      <w:r>
        <w:t xml:space="preserve"> (Prov. 4:23), the seat of </w:t>
      </w:r>
      <w:r>
        <w:rPr>
          <w:b/>
          <w:bCs/>
        </w:rPr>
        <w:t xml:space="preserve">desire/longing that points to God</w:t>
      </w:r>
      <w:r>
        <w:t xml:space="preserve">, and a thing that is </w:t>
      </w:r>
      <w:r>
        <w:rPr>
          <w:b/>
          <w:bCs/>
        </w:rPr>
        <w:t xml:space="preserve">wounded and needs healing</w:t>
      </w:r>
      <w:r>
        <w:t xml:space="preserve"> — not just a fast decision-processor. Not a convergence (the academics are content with the functional definition), but worth your judgment because the heart is the paper's signature contribution.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2 — The seven reviewers</w:t>
      </w:r>
    </w:p>
    <w:p>
      <w:pPr>
        <w:pStyle w:val="Heading3"/>
      </w:pPr>
      <w:r>
        <w:t xml:space="preserve">Timothy Keller (Reformed)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the sources-first rigor; the both/and humility; Kilner's image-as-connection-and-reflection (Reformed-congenial); the refusal to let formation collapse into mere doctrine-transfer.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(1) You adopt a </w:t>
      </w:r>
      <w:r>
        <w:rPr>
          <w:b/>
          <w:bCs/>
        </w:rPr>
        <w:t xml:space="preserve">trichotomy-leaning</w:t>
      </w:r>
      <w:r>
        <w:t xml:space="preserve"> model via Nee while citing </w:t>
      </w:r>
      <w:r>
        <w:rPr>
          <w:b/>
          <w:bCs/>
        </w:rPr>
        <w:t xml:space="preserve">Grudem</w:t>
      </w:r>
      <w:r>
        <w:t xml:space="preserve">, who rejects trichotomy on the ground that Scripture uses "soul" and "spirit" near-synonymously and stresses the </w:t>
      </w:r>
      <w:r>
        <w:rPr>
          <w:i/>
          <w:iCs/>
        </w:rPr>
        <w:t xml:space="preserve">unity</w:t>
      </w:r>
      <w:r>
        <w:t xml:space="preserve"> of man — engage that tension head-on rather than noting it and moving past. (2) Watch the </w:t>
      </w:r>
      <w:r>
        <w:rPr>
          <w:b/>
          <w:bCs/>
        </w:rPr>
        <w:t xml:space="preserve">Nee "soulish vs. spiritual" wire</w:t>
      </w:r>
      <w:r>
        <w:t xml:space="preserve">: pressed too far it re-imports the very body/soul-bad dualism the paper critiques (a quasi-gnostic drift). (3) The formation program needs the </w:t>
      </w:r>
      <w:r>
        <w:rPr>
          <w:b/>
          <w:bCs/>
        </w:rPr>
        <w:t xml:space="preserve">grace engine</w:t>
      </w:r>
      <w:r>
        <w:t xml:space="preserve"> named — sanctification is the Spirit's work received by faith, not a training regimen the operator drives.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a paragraph positioning the model relative to the dichotomy/trichotomy debate and declaring it a </w:t>
      </w:r>
      <w:r>
        <w:rPr>
          <w:i/>
          <w:iCs/>
        </w:rPr>
        <w:t xml:space="preserve">functional</w:t>
      </w:r>
      <w:r>
        <w:t xml:space="preserve"> both/and (aspects, not substances); a guard against the soulish/spiritual hierarchy denigrating body/soul; name regeneration and grace as the engine before the training taxonomies.</w:t>
      </w:r>
    </w:p>
    <w:p>
      <w:pPr>
        <w:pStyle w:val="Heading3"/>
      </w:pPr>
      <w:r>
        <w:t xml:space="preserve">John Stott (evangelical / expositor)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Scripture as the reference base; the practical, teachable aim; the disciplined engagement with a wide source set.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(1) </w:t>
      </w:r>
      <w:r>
        <w:rPr>
          <w:b/>
          <w:bCs/>
        </w:rPr>
        <w:t xml:space="preserve">The cross and salvation-history are nearly absent.</w:t>
      </w:r>
      <w:r>
        <w:t xml:space="preserve"> A formation anthropology should be framed by fall → redemption → glorification, not presented as a static parts-list. (2) </w:t>
      </w:r>
      <w:r>
        <w:rPr>
          <w:b/>
          <w:bCs/>
        </w:rPr>
        <w:t xml:space="preserve">Sin is underweight</w:t>
      </w:r>
      <w:r>
        <w:t xml:space="preserve"> — if the heart is fallen (Jer. 17:9), "training the heart" is the </w:t>
      </w:r>
      <w:r>
        <w:rPr>
          <w:i/>
          <w:iCs/>
        </w:rPr>
        <w:t xml:space="preserve">renewal of a corrupted faculty by the Spirit</w:t>
      </w:r>
      <w:r>
        <w:t xml:space="preserve">, not the cultivation of a neutral one. (3) </w:t>
      </w:r>
      <w:r>
        <w:rPr>
          <w:b/>
          <w:bCs/>
        </w:rPr>
        <w:t xml:space="preserve">Exegesis is mostly secondary</w:t>
      </w:r>
      <w:r>
        <w:t xml:space="preserve"> (through Mitchell, Grudem, Nee). The expositor wants primary work on 1 Thess. 5:23, Heb. 4:12, the </w:t>
      </w:r>
      <w:r>
        <w:rPr>
          <w:i/>
          <w:iCs/>
        </w:rPr>
        <w:t xml:space="preserve">leb</w:t>
      </w:r>
      <w:r>
        <w:t xml:space="preserve"> texts.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add a gospel/salvation-history frame; name the fall's effect on each part; do primary exegesis of the load-bearing texts.</w:t>
      </w:r>
    </w:p>
    <w:p>
      <w:pPr>
        <w:pStyle w:val="Heading3"/>
      </w:pPr>
      <w:r>
        <w:t xml:space="preserve">Gordon D. Fee (Pentecostal NT scholar)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the serious attention to the </w:t>
      </w:r>
      <w:r>
        <w:rPr>
          <w:b/>
          <w:bCs/>
        </w:rPr>
        <w:t xml:space="preserve">human spirit</w:t>
      </w:r>
      <w:r>
        <w:t xml:space="preserve"> and its communion with the Holy Spirit; the "hearing God" thread; the </w:t>
      </w:r>
      <w:r>
        <w:rPr>
          <w:i/>
          <w:iCs/>
        </w:rPr>
        <w:t xml:space="preserve">truth-testing</w:t>
      </w:r>
      <w:r>
        <w:t xml:space="preserve"> discipline (Powlison/Trentham) applied to Kahneman.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(1) </w:t>
      </w:r>
      <w:r>
        <w:rPr>
          <w:b/>
          <w:bCs/>
        </w:rPr>
        <w:t xml:space="preserve">Exegetical overreach on the partition texts</w:t>
      </w:r>
      <w:r>
        <w:t xml:space="preserve"> — 1 Thess. 5:23 is a comprehensive benediction ("may he sanctify you </w:t>
      </w:r>
      <w:r>
        <w:rPr>
          <w:i/>
          <w:iCs/>
        </w:rPr>
        <w:t xml:space="preserve">wholly</w:t>
      </w:r>
      <w:r>
        <w:t xml:space="preserve">"), not a tripartite ontology; Heb. 4:12 is about the Word's penetrating power, not a faculty seam. Don't rest the model's weight on them. (2) </w:t>
      </w:r>
      <w:r>
        <w:rPr>
          <w:b/>
          <w:bCs/>
        </w:rPr>
        <w:t xml:space="preserve">Name the Spirit as the personal agent</w:t>
      </w:r>
      <w:r>
        <w:t xml:space="preserve">, not the human spirit as a quasi-autonomous receiver — and remember the Spirit forms the </w:t>
      </w:r>
      <w:r>
        <w:rPr>
          <w:b/>
          <w:bCs/>
        </w:rPr>
        <w:t xml:space="preserve">whole person and the community</w:t>
      </w:r>
      <w:r>
        <w:t xml:space="preserve"> (1 Cor. 12–14), not an isolated "spirit compartment." (3) The </w:t>
      </w:r>
      <w:r>
        <w:rPr>
          <w:b/>
          <w:bCs/>
        </w:rPr>
        <w:t xml:space="preserve">Kahneman System 1 = heart / System 2 = mind</w:t>
      </w:r>
      <w:r>
        <w:t xml:space="preserve"> identification is a </w:t>
      </w:r>
      <w:r>
        <w:rPr>
          <w:i/>
          <w:iCs/>
        </w:rPr>
        <w:t xml:space="preserve">heuristic analogy</w:t>
      </w:r>
      <w:r>
        <w:t xml:space="preserve">; flag it as such so it isn't quoted as equivalence.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soften the proof-text reliance; foreground the Holy Spirit as agent (and add the corporate dimension); explicitly mark the Kahneman mapping as heuristic, not identity.</w:t>
      </w:r>
    </w:p>
    <w:p>
      <w:pPr>
        <w:pStyle w:val="Heading3"/>
      </w:pPr>
      <w:r>
        <w:t xml:space="preserve">Dallas Willard (contemplative — </w:t>
      </w:r>
      <w:r>
        <w:rPr>
          <w:i/>
          <w:iCs/>
        </w:rPr>
        <w:t xml:space="preserve">and your principal source</w:t>
      </w:r>
      <w:r>
        <w:t xml:space="preserve">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he'd recognize his own </w:t>
      </w:r>
      <w:r>
        <w:rPr>
          <w:i/>
          <w:iCs/>
        </w:rPr>
        <w:t xml:space="preserve">Renovation of the Heart</w:t>
      </w:r>
      <w:r>
        <w:t xml:space="preserve"> schema as the relational backbone, and endorse the whole-person aim and the "hearing God" emphasis (his own book with Johnson).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(1) </w:t>
      </w:r>
      <w:r>
        <w:rPr>
          <w:b/>
          <w:bCs/>
        </w:rPr>
        <w:t xml:space="preserve">You diverged from me and should say so.</w:t>
      </w:r>
      <w:r>
        <w:t xml:space="preserve"> In my model spirit = will = heart are </w:t>
      </w:r>
      <w:r>
        <w:rPr>
          <w:i/>
          <w:iCs/>
        </w:rPr>
        <w:t xml:space="preserve">one</w:t>
      </w:r>
      <w:r>
        <w:t xml:space="preserve"> innermost component; you </w:t>
      </w:r>
      <w:r>
        <w:rPr>
          <w:b/>
          <w:bCs/>
        </w:rPr>
        <w:t xml:space="preserve">split</w:t>
      </w:r>
      <w:r>
        <w:t xml:space="preserve"> them (spirit </w:t>
      </w:r>
      <w:r>
        <w:rPr>
          <w:i/>
          <w:iCs/>
        </w:rPr>
        <w:t xml:space="preserve">within</w:t>
      </w:r>
      <w:r>
        <w:t xml:space="preserve"> heart; heart </w:t>
      </w:r>
      <w:r>
        <w:rPr>
          <w:i/>
          <w:iCs/>
        </w:rPr>
        <w:t xml:space="preserve">outside</w:t>
      </w:r>
      <w:r>
        <w:t xml:space="preserve"> spirit) and graft that onto Nee, whose spirit ≠ heart. That's a hybrid of two schemas that don't agree — defend the heart-as-distinct-from-spirit move or it looks like an inconsistency, not a synthesis. (Moreland, also cited, would press the same.) (2) </w:t>
      </w:r>
      <w:r>
        <w:rPr>
          <w:b/>
          <w:bCs/>
        </w:rPr>
        <w:t xml:space="preserve">Formation is relational transformation into Christlikeness, not a measurement taxonomy</w:t>
      </w:r>
      <w:r>
        <w:t xml:space="preserve"> — be careful proposing a Bloom's-style grid for the heart and spirit; the danger is that "the apparatus's sheer density becomes its own hazard" (1 Cor. 8:1).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an explicit reconciliation of the Willard-vs-Nee schemas (which you take from each, and why the heart earns its own ring); keep the per-faculty taxonomies provisional and relationally framed.</w:t>
      </w:r>
    </w:p>
    <w:p>
      <w:pPr>
        <w:pStyle w:val="Heading3"/>
      </w:pPr>
      <w:r>
        <w:t xml:space="preserve">Richard Foster (contemplative / Renovaré — </w:t>
      </w:r>
      <w:r>
        <w:rPr>
          <w:i/>
          <w:iCs/>
        </w:rPr>
        <w:t xml:space="preserve">and a cited source</w:t>
      </w:r>
      <w:r>
        <w:t xml:space="preserve">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the disciplines as formation means; the multi-part, balanced aim; the recovery of the heart.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(1) You cite my </w:t>
      </w:r>
      <w:r>
        <w:rPr>
          <w:i/>
          <w:iCs/>
        </w:rPr>
        <w:t xml:space="preserve">twelve disciplines</w:t>
      </w:r>
      <w:r>
        <w:t xml:space="preserve"> but </w:t>
      </w:r>
      <w:r>
        <w:rPr>
          <w:b/>
          <w:bCs/>
        </w:rPr>
        <w:t xml:space="preserve">flatten them into a faculty-targeting grid</w:t>
      </w:r>
      <w:r>
        <w:t xml:space="preserve"> (inner→heart/spirit, outer→…, corporate→community). The disciplines are </w:t>
      </w:r>
      <w:r>
        <w:rPr>
          <w:b/>
          <w:bCs/>
        </w:rPr>
        <w:t xml:space="preserve">means of grace that place the whole person before God</w:t>
      </w:r>
      <w:r>
        <w:t xml:space="preserve"> — not technique inputs to train compartments; the fruit is God's. (2) *</w:t>
      </w:r>
      <w:r>
        <w:rPr>
          <w:i/>
          <w:iCs/>
        </w:rPr>
        <w:t xml:space="preserve">The contemplative stream is thin as a </w:t>
      </w:r>
      <w:r>
        <w:t xml:space="preserve">practice**</w:t>
      </w:r>
      <w:r>
        <w:rPr>
          <w:i/>
          <w:iCs/>
        </w:rPr>
        <w:t xml:space="preserve"> — silence, solitude, the prayer of the heart, the dark night (your "soul integrating conflicting voices" gestures at it) deserve real place, not just the cognitive/heart-language and analytic tracks. (This is the </w:t>
      </w:r>
      <w:r>
        <w:t xml:space="preserve">same</w:t>
      </w:r>
      <w:r>
        <w:rPr>
          <w:i/>
          <w:iCs/>
        </w:rPr>
        <w:t xml:space="preserve"> contemplative-practice gap the Vol 1 review flagged.) (3) Honor the </w:t>
      </w:r>
      <w:r>
        <w:rPr>
          <w:i/>
          <w:iCs/>
        </w:rPr>
        <w:t xml:space="preserve">breadth of the streams</w:t>
      </w:r>
      <w:r>
        <w:t xml:space="preserve">* (Streams of Living Water), not just the analytic.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present the disciplines as means of grace rather than taxonomy inputs; add the contemplative practice explicitly; balance the streams.</w:t>
      </w:r>
    </w:p>
    <w:p>
      <w:pPr>
        <w:pStyle w:val="Heading3"/>
      </w:pPr>
      <w:r>
        <w:t xml:space="preserve">John Eldredge (heart / desire)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strongly — the </w:t>
      </w:r>
      <w:r>
        <w:rPr>
          <w:b/>
          <w:bCs/>
        </w:rPr>
        <w:t xml:space="preserve">central thesis that the heart is distinct and central</w:t>
      </w:r>
      <w:r>
        <w:t xml:space="preserve">, and the explicit critique (via Smith) of "humans as primarily thinking animals." This is his whole project.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your </w:t>
      </w:r>
      <w:r>
        <w:rPr>
          <w:b/>
          <w:bCs/>
        </w:rPr>
        <w:t xml:space="preserve">heart is too clinical</w:t>
      </w:r>
      <w:r>
        <w:t xml:space="preserve">. Defined as a fast decision-processor (Kahneman System 1), it misses the biblical heart's drama: the </w:t>
      </w:r>
      <w:r>
        <w:rPr>
          <w:b/>
          <w:bCs/>
        </w:rPr>
        <w:t xml:space="preserve">wellspring of life to be guarded</w:t>
      </w:r>
      <w:r>
        <w:t xml:space="preserve"> (Prov. 4:23), the seat of </w:t>
      </w:r>
      <w:r>
        <w:rPr>
          <w:b/>
          <w:bCs/>
        </w:rPr>
        <w:t xml:space="preserve">desire/longing that points to God</w:t>
      </w:r>
      <w:r>
        <w:t xml:space="preserve">, and the place that is </w:t>
      </w:r>
      <w:r>
        <w:rPr>
          <w:b/>
          <w:bCs/>
        </w:rPr>
        <w:t xml:space="preserve">wounded and needs healing</w:t>
      </w:r>
      <w:r>
        <w:t xml:space="preserve"> — formation is </w:t>
      </w:r>
      <w:r>
        <w:rPr>
          <w:i/>
          <w:iCs/>
        </w:rPr>
        <w:t xml:space="preserve">awakening and healing</w:t>
      </w:r>
      <w:r>
        <w:t xml:space="preserve"> the heart, not only training it. And Nee's </w:t>
      </w:r>
      <w:r>
        <w:rPr>
          <w:b/>
          <w:bCs/>
        </w:rPr>
        <w:t xml:space="preserve">spiritual warfare</w:t>
      </w:r>
      <w:r>
        <w:t xml:space="preserve"> (which you cite in passing) belongs nearer the center — the heart is </w:t>
      </w:r>
      <w:r>
        <w:rPr>
          <w:i/>
          <w:iCs/>
        </w:rPr>
        <w:t xml:space="preserve">contested ground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deepen the heart from a faculty into the biblical wellspring (desire, woundedness, guarding, the contested heart); frame heart-formation as awakening + healing, not only training.</w:t>
      </w:r>
    </w:p>
    <w:p>
      <w:pPr>
        <w:pStyle w:val="Heading3"/>
      </w:pPr>
      <w:r>
        <w:t xml:space="preserve">Derek Prince (Word-and-Spirit / Pentecostal)</w:t>
      </w:r>
    </w:p>
    <w:p>
      <w:pPr>
        <w:spacing w:after="140"/>
      </w:pPr>
      <w:r>
        <w:rPr>
          <w:b/>
          <w:bCs/>
        </w:rPr>
        <w:t xml:space="preserve">Affirms:</w:t>
      </w:r>
      <w:r>
        <w:t xml:space="preserve"> he is your </w:t>
      </w:r>
      <w:r>
        <w:rPr>
          <w:b/>
          <w:bCs/>
        </w:rPr>
        <w:t xml:space="preserve">most sympathetic</w:t>
      </w:r>
      <w:r>
        <w:t xml:space="preserve"> reviewer on the very point Fee/Keller resist — the </w:t>
      </w:r>
      <w:r>
        <w:rPr>
          <w:b/>
          <w:bCs/>
        </w:rPr>
        <w:t xml:space="preserve">spirit/soul distinction</w:t>
      </w:r>
      <w:r>
        <w:t xml:space="preserve"> and the regenerated human spirit as the organ of God-contact; the Nee backbone (Prince admired Nee); the "hearing God" aim.</w:t>
      </w:r>
    </w:p>
    <w:p>
      <w:pPr>
        <w:spacing w:after="140"/>
      </w:pPr>
      <w:r>
        <w:rPr>
          <w:b/>
          <w:bCs/>
        </w:rPr>
        <w:t xml:space="preserve">Presses:</w:t>
      </w:r>
      <w:r>
        <w:t xml:space="preserve"> (1) </w:t>
      </w:r>
      <w:r>
        <w:rPr>
          <w:b/>
          <w:bCs/>
        </w:rPr>
        <w:t xml:space="preserve">Strengthen and ground</w:t>
      </w:r>
      <w:r>
        <w:t xml:space="preserve"> the distinction in the new-birth and Word texts you underuse — 1 Cor. 6:17 ("joined to the Lord, one spirit"), Rom. 8:16 ("the Spirit bears witness with our spirit"), Eph. 2:1 (the unregenerate spirit dead), Eph. 4:23 (renewed in the spirit of the mind). Formation of the spirit </w:t>
      </w:r>
      <w:r>
        <w:rPr>
          <w:i/>
          <w:iCs/>
        </w:rPr>
        <w:t xml:space="preserve">presupposes regeneration</w:t>
      </w:r>
      <w:r>
        <w:t xml:space="preserve"> — say so. (2) </w:t>
      </w:r>
      <w:r>
        <w:rPr>
          <w:b/>
          <w:bCs/>
        </w:rPr>
        <w:t xml:space="preserve">Foreground the Word as the formative agent</w:t>
      </w:r>
      <w:r>
        <w:t xml:space="preserve"> (Heb. 4:12 — the Word is what divides soul and spirit; the sword), not only the disciplines and taxonomies. (3) </w:t>
      </w:r>
      <w:r>
        <w:rPr>
          <w:b/>
          <w:bCs/>
        </w:rPr>
        <w:t xml:space="preserve">Deliverance, not only training</w:t>
      </w:r>
      <w:r>
        <w:t xml:space="preserve"> — Nee's warfare implies the soul/mind can be </w:t>
      </w:r>
      <w:r>
        <w:rPr>
          <w:i/>
          <w:iCs/>
        </w:rPr>
        <w:t xml:space="preserve">oppressed</w:t>
      </w:r>
      <w:r>
        <w:t xml:space="preserve"> and sometimes need deliverance, not just discipline.</w:t>
      </w:r>
    </w:p>
    <w:p>
      <w:pPr>
        <w:spacing w:after="140"/>
      </w:pPr>
      <w:r>
        <w:rPr>
          <w:b/>
          <w:bCs/>
        </w:rPr>
        <w:t xml:space="preserve">Fix:</w:t>
      </w:r>
      <w:r>
        <w:t xml:space="preserve"> ground the spirit/soul distinction in the regeneration + Word texts; name the Word as a formative agent; acknowledge deliverance alongside training.</w:t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Part 3 — Prioritized punch-list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"/>
        <w:gridCol w:w="626"/>
        <w:gridCol w:w="1560"/>
        <w:gridCol w:w="5911"/>
        <w:gridCol w:w="637"/>
      </w:tblGrid>
      <w:tr>
        <w:trPr>
          <w:tblHeader/>
        </w:trP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#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Priority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Location in TA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Recommended fix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Reviewer(s)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Between "Anthropology for Spiritual Formation" and "Implications"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Add a short </w:t>
            </w:r>
            <w:r>
              <w:rPr>
                <w:b/>
                <w:bCs/>
              </w:rPr>
              <w:t xml:space="preserve">gospel frame</w:t>
            </w:r>
            <w:r>
              <w:t xml:space="preserve"> — fall (the parts are </w:t>
            </w:r>
            <w:r>
              <w:rPr>
                <w:i/>
                <w:iCs/>
              </w:rPr>
              <w:t xml:space="preserve">fallen</w:t>
            </w:r>
            <w:r>
              <w:t xml:space="preserve">, not neutral: Jer. 17:9; Eph. 2:1), regeneration, union with Christ, the </w:t>
            </w:r>
            <w:r>
              <w:rPr>
                <w:b/>
                <w:bCs/>
              </w:rPr>
              <w:t xml:space="preserve">Spirit as the personal agent of formation</w:t>
            </w:r>
            <w:r>
              <w:t xml:space="preserve"> — so the training program reads as Spirit-empowered transformation, not technique.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Keller, Stott, Foster, Eldredge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integrated-model section + Figure 1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Own and defend the Willard–Nee hybrid</w:t>
            </w:r>
            <w:r>
              <w:t xml:space="preserve">: state which schema you adopt, defend the heart-as-distinct ring on its own scriptural feet, and declare the model a </w:t>
            </w:r>
            <w:r>
              <w:rPr>
                <w:i/>
                <w:iCs/>
              </w:rPr>
              <w:t xml:space="preserve">functional both/and</w:t>
            </w:r>
            <w:r>
              <w:t xml:space="preserve"> (aspects of one unified person, not separable substances). Resolves the fault line for both panels at once.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Keller, Fee, Willard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Wherever 1 Thess. 5:23 / Heb. 4:12 underwrite the partition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Re-read the </w:t>
            </w:r>
            <w:r>
              <w:rPr>
                <w:b/>
                <w:bCs/>
              </w:rPr>
              <w:t xml:space="preserve">tripartite proof-texts</w:t>
            </w:r>
            <w:r>
              <w:t xml:space="preserve"> as holistic/penetrative, not partitioning (1 Thess. 5:23 = whole-self benediction; Heb. 4:12 = the Word's piercing). Don't rest the model's weight on them.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Fee, Stott, Keller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"Resources for Training Practices" (Foster) + the per-faculty Bloom proposal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Present the </w:t>
            </w:r>
            <w:r>
              <w:rPr>
                <w:b/>
                <w:bCs/>
              </w:rPr>
              <w:t xml:space="preserve">disciplines as means of grace</w:t>
            </w:r>
            <w:r>
              <w:t xml:space="preserve">, not faculty-training inputs; add the </w:t>
            </w:r>
            <w:r>
              <w:rPr>
                <w:b/>
                <w:bCs/>
              </w:rPr>
              <w:t xml:space="preserve">contemplative practice</w:t>
            </w:r>
            <w:r>
              <w:t xml:space="preserve"> (silence/solitude/prayer of the heart); keep the per-faculty </w:t>
            </w:r>
            <w:r>
              <w:rPr>
                <w:b/>
                <w:bCs/>
              </w:rPr>
              <w:t xml:space="preserve">taxonomies provisional</w:t>
            </w:r>
            <w:r>
              <w:t xml:space="preserve"> and relationally framed (1 Cor. 8:1 guard).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Foster, Willard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Throughout the argument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Add a </w:t>
            </w:r>
            <w:r>
              <w:rPr>
                <w:b/>
                <w:bCs/>
              </w:rPr>
              <w:t xml:space="preserve">primary-exegesis pass</w:t>
            </w:r>
            <w:r>
              <w:t xml:space="preserve"> on the load-bearing texts (</w:t>
            </w:r>
            <w:r>
              <w:rPr>
                <w:i/>
                <w:iCs/>
              </w:rPr>
              <w:t xml:space="preserve">leb</w:t>
            </w:r>
            <w:r>
              <w:t xml:space="preserve"> range; 1 Thess. 5:23; Heb. 4:12; Rom. 12:2; Prov. 4:23; 1 Cor. 2:11–16) so the model is shown to arise from Scripture, not only from authors.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Stott, Fee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"heart" definition (Kahneman System 1; the heart's role)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Deepen the </w:t>
            </w:r>
            <w:r>
              <w:rPr>
                <w:b/>
                <w:bCs/>
              </w:rPr>
              <w:t xml:space="preserve">heart</w:t>
            </w:r>
            <w:r>
              <w:t xml:space="preserve"> from a fast-decision faculty into the biblical wellspring — desire/longing pointing to God, woundedness/healing, guarding (Prov. 4:23), contested ground. Frame heart-formation as awakening + healing, not only training.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Eldredge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human-spirit sections (Nee)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Ground the spirit/soul distinction</w:t>
            </w:r>
            <w:r>
              <w:t xml:space="preserve"> in regeneration + Word texts (1 Cor. 6:17; Rom. 8:16; Eph. 2:1; 4:23; Heb. 4:12); foreground the </w:t>
            </w:r>
            <w:r>
              <w:rPr>
                <w:b/>
                <w:bCs/>
              </w:rPr>
              <w:t xml:space="preserve">Word</w:t>
            </w:r>
            <w:r>
              <w:t xml:space="preserve"> as a formative agent; acknowledge </w:t>
            </w:r>
            <w:r>
              <w:rPr>
                <w:b/>
                <w:bCs/>
              </w:rPr>
              <w:t xml:space="preserve">deliverance</w:t>
            </w:r>
            <w:r>
              <w:t xml:space="preserve"> alongside discipline.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Prince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Kahneman / Thompson truth-testing section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Mark the </w:t>
            </w:r>
            <w:r>
              <w:rPr>
                <w:b/>
                <w:bCs/>
              </w:rPr>
              <w:t xml:space="preserve">System 1 = heart / System 2 = mind</w:t>
            </w:r>
            <w:r>
              <w:t xml:space="preserve"> mapping explicitly as a </w:t>
            </w:r>
            <w:r>
              <w:rPr>
                <w:i/>
                <w:iCs/>
              </w:rPr>
              <w:t xml:space="preserve">heuristic analogy</w:t>
            </w:r>
            <w:r>
              <w:t xml:space="preserve">, not an identity, so it isn't later quoted as equivalence.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Fee</w:t>
            </w:r>
          </w:p>
        </w:tc>
      </w:tr>
      <w:tr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W w:type="dxa" w:w="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"soulish vs. soulical" (Nee) material</w:t>
            </w:r>
          </w:p>
        </w:tc>
        <w:tc>
          <w:tcPr>
            <w:tcW w:type="dxa" w:w="59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Add a one-line guard that the soulish/spiritual contrast must </w:t>
            </w:r>
            <w:r>
              <w:rPr>
                <w:b/>
                <w:bCs/>
              </w:rPr>
              <w:t xml:space="preserve">not</w:t>
            </w:r>
            <w:r>
              <w:t xml:space="preserve"> denigrate the body/soul as such (avoid the dualism the paper critiques).</w:t>
            </w:r>
          </w:p>
        </w:tc>
        <w:tc>
          <w:tcPr>
            <w:tcW w:type="dxa" w:w="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Keller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999999" w:sz="6" w:space="4"/>
        </w:pBdr>
        <w:spacing w:after="100" w:before="100"/>
      </w:pPr>
      <w:r>
        <w:t xml:space="preserve"/>
      </w:r>
    </w:p>
    <w:p>
      <w:pPr>
        <w:pStyle w:val="Heading2"/>
      </w:pPr>
      <w:r>
        <w:t xml:space="preserve">Convergence with the Vol 1 reviews (worth noting)</w:t>
      </w:r>
    </w:p>
    <w:p>
      <w:pPr>
        <w:spacing w:after="140"/>
      </w:pPr>
      <w:r>
        <w:t xml:space="preserve">TA's #1 press is the </w:t>
      </w:r>
      <w:r>
        <w:rPr>
          <w:b/>
          <w:bCs/>
        </w:rPr>
        <w:t xml:space="preserve">same</w:t>
      </w:r>
      <w:r>
        <w:t xml:space="preserve"> as Vol 1's #1: </w:t>
      </w:r>
      <w:r>
        <w:rPr>
          <w:i/>
          <w:iCs/>
        </w:rPr>
        <w:t xml:space="preserve">de-mechanize / name grace and the Spirit as the personal agent.</w:t>
      </w:r>
      <w:r>
        <w:t xml:space="preserve"> If you carry one habit from the Vol 1 work into the Formation Documents, it's this — make the gospel and the Spirit the frame, so every model and taxonomy reads as describing how </w:t>
      </w:r>
      <w:r>
        <w:rPr>
          <w:i/>
          <w:iCs/>
        </w:rPr>
        <w:t xml:space="preserve">God</w:t>
      </w:r>
      <w:r>
        <w:t xml:space="preserve"> forms a person, not how an operator runs a program. The contemplative-practice gap (Foster) also recurs. Both are cheap to fix and high-value.</w:t>
      </w:r>
    </w:p>
    <w:p>
      <w:pPr>
        <w:pStyle w:val="Heading2"/>
      </w:pPr>
      <w:r>
        <w:t xml:space="preserve">Framing &amp; decisions (John, 2026-06-07)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actual PURPOSE of these reviews:</w:t>
      </w:r>
      <w:r>
        <w:t xml:space="preserve"> to surface whether anything needs to </w:t>
      </w:r>
      <w:r>
        <w:rPr>
          <w:b/>
          <w:bCs/>
        </w:rPr>
        <w:t xml:space="preserve">change or be expanded in IJH itself (the volumes)</w:t>
      </w:r>
      <w:r>
        <w:t xml:space="preserve"> — </w:t>
      </w:r>
      <w:r>
        <w:rPr>
          <w:i/>
          <w:iCs/>
        </w:rPr>
        <w:t xml:space="preserve">not</w:t>
      </w:r>
      <w:r>
        <w:t xml:space="preserve"> to improve the papers. Read every finding through that lens: "does this imply an IJH change?"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TA's verdict on that question: nothing IJH needs.</w:t>
      </w:r>
      <w:r>
        <w:t xml:space="preserve"> The four presses are each one of: (a) </w:t>
      </w:r>
      <w:r>
        <w:rPr>
          <w:b/>
          <w:bCs/>
        </w:rPr>
        <w:t xml:space="preserve">already addressed in IJH</w:t>
      </w:r>
      <w:r>
        <w:t xml:space="preserve"> — the gospel/grace/Spirit-as-agent frame was Vol 1's #1 fix (now done); the heart's wound/desire is Vol 2 territory (Heart-Soil, Wound/False-Self); (b) </w:t>
      </w:r>
      <w:r>
        <w:rPr>
          <w:b/>
          <w:bCs/>
        </w:rPr>
        <w:t xml:space="preserve">paper-level academic concerns</w:t>
      </w:r>
      <w:r>
        <w:t xml:space="preserve"> (primary exegesis; the Willard–Nee citation tension) that don't bear on the volumes; or (c) </w:t>
      </w:r>
      <w:r>
        <w:rPr>
          <w:b/>
          <w:bCs/>
        </w:rPr>
        <w:t xml:space="preserve">John's own characteristic both/and analytical tension</w:t>
      </w:r>
      <w:r>
        <w:t xml:space="preserve"> (the trichotomy fault line) — how he operates, not a defect. </w:t>
      </w:r>
      <w:r>
        <w:rPr>
          <w:b/>
          <w:bCs/>
        </w:rPr>
        <w:t xml:space="preserve">Net: no IJH change or expansion indicated from 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keep going anyway:</w:t>
      </w:r>
      <w:r>
        <w:t xml:space="preserve"> to </w:t>
      </w:r>
      <w:r>
        <w:rPr>
          <w:i/>
          <w:iCs/>
        </w:rPr>
        <w:t xml:space="preserve">confirm</w:t>
      </w:r>
      <w:r>
        <w:t xml:space="preserve"> this across HFT/SST/MSFIG/FC, and to catch the one place (if any) where a formation-doc concept is </w:t>
      </w:r>
      <w:r>
        <w:rPr>
          <w:b/>
          <w:bCs/>
        </w:rPr>
        <w:t xml:space="preserve">not yet reflected in IJH</w:t>
      </w:r>
      <w:r>
        <w:t xml:space="preserve"> — that would be the real payoff.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"Formation Documents":</w:t>
      </w:r>
      <w:r>
        <w:t xml:space="preserve"> named for being *</w:t>
      </w:r>
      <w:r>
        <w:rPr>
          <w:i/>
          <w:iCs/>
        </w:rPr>
        <w:t xml:space="preserve">formative </w:t>
      </w:r>
      <w:r>
        <w:t xml:space="preserve">for John**</w:t>
      </w:r>
      <w:r>
        <w:rPr>
          <w:i/>
          <w:iCs/>
        </w:rPr>
        <w:t xml:space="preserve"> — the reading/writing that formed his thinking and brought IJH to clarity — not merely because they treat the </w:t>
      </w:r>
      <w:r>
        <w:t xml:space="preserve">topic*. So these reviews stress-test the substrate his framework was forged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Disposition: DIAGNOSTIC only for now.</w:t>
      </w:r>
      <w:r>
        <w:t xml:space="preserve"> No </w:t>
      </w:r>
      <w:r>
        <w:rPr>
          <w:rFonts w:ascii="Consolas" w:cs="Consolas" w:eastAsia="Consolas" w:hAnsi="Consolas"/>
          <w:sz w:val="20"/>
          <w:szCs w:val="20"/>
        </w:rPr>
        <w:t xml:space="preserve">.docx</w:t>
      </w:r>
      <w:r>
        <w:t xml:space="preserve"> revisions or PDF re-exports; no IJH edits from TA. Revisit "for later" if John decides to act on a specific finding.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2026-06-07T16:55:58.661Z</dcterms:created>
  <dcterms:modified xsi:type="dcterms:W3CDTF">2026-06-07T16:55:58.673Z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