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Ask 1 — The Meta-Law Layer</w:t>
      </w:r>
    </w:p>
    <w:p>
      <w:pPr>
        <w:pStyle w:val="Subtitle"/>
      </w:pPr>
      <w:r>
        <w:t xml:space="preserve">IJH Council, 6 September 2026 · one page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An index of the catalog’s second-order laws: laws about how the forty-eight Foundational Laws behave</w:t>
      </w:r>
      <w:r>
        <w:t xml:space="preserve"> </w:t>
      </w:r>
      <w:r>
        <w:rPr>
          <w:i/>
          <w:iCs/>
        </w:rPr>
        <w:t xml:space="preserve">as a set</w:t>
      </w:r>
      <w:r>
        <w:t xml:space="preserve">, rather than one more law in a cell. Four kinds.</w:t>
      </w:r>
      <w:r>
        <w:t xml:space="preserve"> </w:t>
      </w:r>
      <w:r>
        <w:rPr>
          <w:b/>
          <w:bCs/>
        </w:rPr>
        <w:t xml:space="preserve">Governing</w:t>
      </w:r>
      <w:r>
        <w:t xml:space="preserve"> </w:t>
      </w:r>
      <w:r>
        <w:t xml:space="preserve">laws are true of the whole system.</w:t>
      </w:r>
      <w:r>
        <w:t xml:space="preserve"> </w:t>
      </w:r>
      <w:r>
        <w:rPr>
          <w:b/>
          <w:bCs/>
        </w:rPr>
        <w:t xml:space="preserve">Binding</w:t>
      </w:r>
      <w:r>
        <w:t xml:space="preserve"> </w:t>
      </w:r>
      <w:r>
        <w:t xml:space="preserve">laws hold several laws together as one cluster.</w:t>
      </w:r>
      <w:r>
        <w:t xml:space="preserve"> </w:t>
      </w:r>
      <w:r>
        <w:rPr>
          <w:b/>
          <w:bCs/>
        </w:rPr>
        <w:t xml:space="preserve">Pathway</w:t>
      </w:r>
      <w:r>
        <w:t xml:space="preserve"> </w:t>
      </w:r>
      <w:r>
        <w:t xml:space="preserve">laws sequence several laws into a cycle over time.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laws describe the architecture the others run inside. Sixteen entries in all, each pointing to where it already lives in Volume 3’s Causal-Loop Set and Role Atlas or in the catalog’s own notes. It is a cross-registry, not new doctrine. Fifteen of the sixteen were already implicit in the published work; only the Word-Stewardship Cycle is new, and it is built from laws already on the books and travels with FL.XLVIII, which the Council approved in June.</w:t>
      </w:r>
    </w:p>
    <w:p>
      <w:pPr>
        <w:pStyle w:val="BodyText"/>
      </w:pPr>
      <w:r>
        <w:rPr>
          <w:b/>
          <w:bCs/>
        </w:rPr>
        <w:t xml:space="preserve">Why it was added.</w:t>
      </w:r>
      <w:r>
        <w:t xml:space="preserve"> </w:t>
      </w:r>
      <w:r>
        <w:t xml:space="preserve">The catalog had been describing this structure piecemeal: the periodicities, the community-relational quartet, the paired laws, the substrate layer, the grace frame, and one long-flagged anomaly. Naming the layer in one place makes it inspectable, which is the Periodic Table’s whole purpose. It also closed the anomaly: the Skill-Development law, flagged for years as spanning two scales at once, is now a worked instance of a named governing law, Scale-Invariance and Transfer.</w:t>
      </w:r>
    </w:p>
    <w:p>
      <w:pPr>
        <w:pStyle w:val="BodyText"/>
      </w:pPr>
      <w:r>
        <w:rPr>
          <w:b/>
          <w:bCs/>
        </w:rPr>
        <w:t xml:space="preserve">What changed on 1 July, published 3 July.</w:t>
      </w:r>
      <w:r>
        <w:t xml:space="preserve"> </w:t>
      </w:r>
      <w:r>
        <w:t xml:space="preserve">The Inclusion Bar now distinguishes a law</w:t>
      </w:r>
      <w:r>
        <w:t xml:space="preserve"> </w:t>
      </w:r>
      <w:r>
        <w:t xml:space="preserve">“accepted in its parts”</w:t>
      </w:r>
      <w:r>
        <w:t xml:space="preserve"> </w:t>
      </w:r>
      <w:r>
        <w:t xml:space="preserve">from one</w:t>
      </w:r>
      <w:r>
        <w:t xml:space="preserve"> </w:t>
      </w:r>
      <w:r>
        <w:t xml:space="preserve">“confirmed as a single law,”</w:t>
      </w:r>
      <w:r>
        <w:t xml:space="preserve"> </w:t>
      </w:r>
      <w:r>
        <w:t xml:space="preserve">so a gathered cycle cannot borrow its members’ consensus. Volume 1’s taxonomy gained a Meta / Cycle law type that lists its member laws instead of claiming a cell address. The Role Atlas gives every law a fourth address, its meta-law membership. Scale-Invariance and Transfer became the seventh governing rule of the Causal-Loop Set. The layer’s table was added to the Volume 5 Periodic Table chapter and recorded in the Research Register.</w:t>
      </w:r>
    </w:p>
    <w:p>
      <w:pPr>
        <w:pStyle w:val="BodyText"/>
      </w:pPr>
      <w:r>
        <w:rPr>
          <w:b/>
          <w:bCs/>
        </w:rPr>
        <w:t xml:space="preserve">The sixteen.</w:t>
      </w:r>
      <w:r>
        <w:t xml:space="preserve"> </w:t>
      </w:r>
      <w:r>
        <w:rPr>
          <w:i/>
          <w:iCs/>
        </w:rPr>
        <w:t xml:space="preserve">Governing:</w:t>
      </w:r>
      <w:r>
        <w:t xml:space="preserve"> </w:t>
      </w:r>
      <w:r>
        <w:t xml:space="preserve">Grace-Priority and The Mirror, both Clearly Taught; the Throne-Switch, Load-Bearing Delays, Suffering as Swing-Input, and Scale-Invariance and Transfer, all Reasonably Inferred; Periodicity, Speculative.</w:t>
      </w:r>
      <w:r>
        <w:t xml:space="preserve"> </w:t>
      </w:r>
      <w:r>
        <w:rPr>
          <w:i/>
          <w:iCs/>
        </w:rPr>
        <w:t xml:space="preserve">Binding:</w:t>
      </w:r>
      <w:r>
        <w:t xml:space="preserve"> </w:t>
      </w:r>
      <w:r>
        <w:t xml:space="preserve">the Community-Relational Quartet, the Generational-Transmission Set, the Constitutive Pairs.</w:t>
      </w:r>
      <w:r>
        <w:t xml:space="preserve"> </w:t>
      </w:r>
      <w:r>
        <w:rPr>
          <w:i/>
          <w:iCs/>
        </w:rPr>
        <w:t xml:space="preserve">Pathway:</w:t>
      </w:r>
      <w:r>
        <w:t xml:space="preserve"> </w:t>
      </w:r>
      <w:r>
        <w:t xml:space="preserve">the Hear-and-Obey Core Loop, the Word-Stewardship Cycle, the Attention–Worship–Conformity Loop, the Confession–Cleansing–Restoration Sequence.</w:t>
      </w:r>
      <w:r>
        <w:t xml:space="preserve"> </w:t>
      </w:r>
      <w:r>
        <w:rPr>
          <w:i/>
          <w:iCs/>
        </w:rPr>
        <w:t xml:space="preserve">Frame:</w:t>
      </w:r>
      <w:r>
        <w:t xml:space="preserve"> </w:t>
      </w:r>
      <w:r>
        <w:t xml:space="preserve">Substrate-Under-Operation, the Architectural-Envelope Principle. All binding, pathway, and frame entries are Reasonably Inferred.</w:t>
      </w:r>
    </w:p>
    <w:p>
      <w:pPr>
        <w:pStyle w:val="BodyText"/>
      </w:pPr>
      <w:r>
        <w:rPr>
          <w:b/>
          <w:bCs/>
        </w:rPr>
        <w:t xml:space="preserve">The bar each one cleared.</w:t>
      </w:r>
      <w:r>
        <w:t xml:space="preserve"> </w:t>
      </w:r>
      <w:r>
        <w:t xml:space="preserve">Genuinely second-order, governing or binding or sequencing at least two laws, not a theme pasted over a group. The binding claim itself scriptural, with multi-author warrant for the</w:t>
      </w:r>
      <w:r>
        <w:t xml:space="preserve"> </w:t>
      </w:r>
      <w:r>
        <w:rPr>
          <w:i/>
          <w:iCs/>
        </w:rPr>
        <w:t xml:space="preserve">relationship</w:t>
      </w:r>
      <w:r>
        <w:t xml:space="preserve">, not merely for its members. It does work: predicts, constrains, or explains. It passes the Mendeleev test, showing something the grid cannot. Each carries a Meta-Mirror, its failure face: the cycle broken, the frame collapsed, the grace-order inverted into a lever.</w:t>
      </w:r>
    </w:p>
    <w:p>
      <w:pPr>
        <w:pStyle w:val="BodyText"/>
      </w:pPr>
      <w:r>
        <w:rPr>
          <w:b/>
          <w:bCs/>
        </w:rPr>
        <w:t xml:space="preserve">How sure, and what is held back.</w:t>
      </w:r>
      <w:r>
        <w:t xml:space="preserve"> </w:t>
      </w:r>
      <w:r>
        <w:t xml:space="preserve">The individual tiers stand as listed. The claim that these sixteen form a</w:t>
      </w:r>
      <w:r>
        <w:t xml:space="preserve"> </w:t>
      </w:r>
      <w:r>
        <w:rPr>
          <w:i/>
          <w:iCs/>
        </w:rPr>
        <w:t xml:space="preserve">complete and well-formed</w:t>
      </w:r>
      <w:r>
        <w:t xml:space="preserve"> </w:t>
      </w:r>
      <w:r>
        <w:t xml:space="preserve">layer is Speculative. Every pathway’s</w:t>
      </w:r>
      <w:r>
        <w:t xml:space="preserve"> </w:t>
      </w:r>
      <w:r>
        <w:rPr>
          <w:i/>
          <w:iCs/>
        </w:rPr>
        <w:t xml:space="preserve">dynamical</w:t>
      </w:r>
      <w:r>
        <w:t xml:space="preserve"> </w:t>
      </w:r>
      <w:r>
        <w:t xml:space="preserve">claim, whether the loops hold up as stocks, flows, and delays, is Speculative and waits on the scripturally grounded physicist the Register already calls for; no simulation claim is made. The layer’s first governing law is Grace-Priority, and its own Meta-Mirror is the standing caution: there is no mechanism, there is a Father.</w:t>
      </w:r>
    </w:p>
    <w:p>
      <w:pPr>
        <w:pStyle w:val="BodyText"/>
      </w:pPr>
      <w:r>
        <w:rPr>
          <w:b/>
          <w:bCs/>
        </w:rPr>
        <w:t xml:space="preserve">Why this is an ask.</w:t>
      </w:r>
      <w:r>
        <w:t xml:space="preserve"> </w:t>
      </w:r>
      <w:r>
        <w:t xml:space="preserve">A new law type and a new layer are structural changes to the catalog. Under Part 1 they would have needed a supermajority as a schema extension; under the light rule they are an ask. They were published before the Council heard them. That is why this page exists.</w:t>
      </w:r>
    </w:p>
    <w:p>
      <w:pPr>
        <w:pStyle w:val="BodyText"/>
      </w:pPr>
      <w:r>
        <w:rPr>
          <w:b/>
          <w:bCs/>
        </w:rPr>
        <w:t xml:space="preserve">What I am asking.</w:t>
      </w:r>
      <w:r>
        <w:t xml:space="preserve"> </w:t>
      </w:r>
      <w:r>
        <w:t xml:space="preserve">Bless the layer as an index at the tiers shown, with its completeness held at Speculative; confirm that the Meta / Cycle type and the fourth address are acceptable; or tell me what to change; or ask me to wait.</w:t>
      </w:r>
    </w:p>
    <w:p>
      <w:pPr>
        <w:pStyle w:val="BodyText"/>
      </w:pPr>
      <w:r>
        <w:rPr>
          <w:b/>
          <w:bCs/>
        </w:rPr>
        <w:t xml:space="preserve">Where to read.</w:t>
      </w:r>
      <w:r>
        <w:t xml:space="preserve"> </w:t>
      </w:r>
      <w:r>
        <w:t xml:space="preserve">Volume 5, the Periodic Table chapter,</w:t>
      </w:r>
      <w:r>
        <w:t xml:space="preserve"> </w:t>
      </w:r>
      <w:r>
        <w:rPr>
          <w:i/>
          <w:iCs/>
        </w:rPr>
        <w:t xml:space="preserve">The Meta-Law Layer</w:t>
      </w:r>
      <w:r>
        <w:t xml:space="preserve">. Volume 3,</w:t>
      </w:r>
      <w:r>
        <w:t xml:space="preserve"> </w:t>
      </w:r>
      <w:r>
        <w:rPr>
          <w:i/>
          <w:iCs/>
        </w:rPr>
        <w:t xml:space="preserve">The Complete Causal-Loop Set</w:t>
      </w:r>
      <w:r>
        <w:t xml:space="preserve">, the seven rules. Volume 1, the Taxonomy Key,</w:t>
      </w:r>
      <w:r>
        <w:t xml:space="preserve"> </w:t>
      </w:r>
      <w:r>
        <w:rPr>
          <w:i/>
          <w:iCs/>
        </w:rPr>
        <w:t xml:space="preserve">Meta / Cycle Laws</w:t>
      </w:r>
      <w:r>
        <w:t xml:space="preserve">, and the essay</w:t>
      </w:r>
      <w:r>
        <w:t xml:space="preserve"> </w:t>
      </w:r>
      <w:r>
        <w:rPr>
          <w:i/>
          <w:iCs/>
        </w:rPr>
        <w:t xml:space="preserve">The Image-Bearing Word</w:t>
      </w:r>
      <w:r>
        <w:t xml:space="preserve">. The Research Register’s note of 1 July.</w:t>
      </w:r>
    </w:p>
    <w:sectPr>
      <w:footnotePr>
        <w:numRestart w:val="eachSect"/>
      </w:footnotePr>
      <w:pgMar w:top="1008" w:bottom="1008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52" w:lineRule="auto"/>
    </w:pPr>
    <w:rPr>
      <w:sz w:val="20"/>
    </w:rPr>
  </w:style>
  <w:style w:styleId="BodyText" w:type="paragraph">
    <w:name w:val="Body Text"/>
    <w:basedOn w:val="Normal"/>
    <w:link w:val="BodyTextChar"/>
    <w:qFormat/>
    <w:pPr>
      <w:spacing w:after="100" w:before="0" w:line="252" w:lineRule="auto"/>
    </w:pPr>
    <w:rPr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52" w:lineRule="auto"/>
    </w:pPr>
    <w:rPr>
      <w:sz w:val="20"/>
    </w:rPr>
  </w:style>
  <w:style w:customStyle="1" w:styleId="Compact" w:type="paragraph">
    <w:name w:val="Compact"/>
    <w:basedOn w:val="BodyText"/>
    <w:qFormat/>
    <w:pPr>
      <w:spacing w:after="100" w:before="0" w:line="252" w:lineRule="auto"/>
    </w:pPr>
    <w:rPr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0" w:line="240" w:lineRule="auto" w:before="0"/>
      <w:contextualSpacing/>
      <w:jc w:val="center"/>
    </w:pPr>
    <w:rPr>
      <w:rFonts w:asciiTheme="majorHAnsi" w:cstheme="majorBidi" w:eastAsiaTheme="majorEastAsia" w:hAnsiTheme="majorHAnsi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0" w:before="0"/>
    </w:pPr>
    <w:rPr>
      <w:rFonts w:cstheme="majorBidi" w:eastAsiaTheme="majorEastAsia"/>
      <w:spacing w:val="15"/>
      <w:sz w:val="2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1 — The Meta-Law Layer</dc:title>
  <dc:creator/>
  <cp:keywords/>
  <dcterms:created xsi:type="dcterms:W3CDTF">2026-09-05T14:24:25Z</dcterms:created>
  <dcterms:modified xsi:type="dcterms:W3CDTF">2026-09-05T14:24:25Z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IJH Council, 6 September 2026 · one page</vt:lpwstr>
  </property>
</Properties>
</file>