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Candidate FL.XLIX — The Household Hearing Law</w:t>
      </w:r>
    </w:p>
    <w:p>
      <w:pPr>
        <w:pStyle w:val="Subtitle"/>
      </w:pPr>
      <w:r>
        <w:t xml:space="preserve">A candidate Foundational Law, written up in the form of the June drafting pass</w:t>
      </w:r>
    </w:p>
    <w:p>
      <w:pPr>
        <w:pStyle w:val="Author"/>
      </w:pPr>
      <w:r>
        <w:t xml:space="preserve">John G. Tittle</w:t>
      </w:r>
    </w:p>
    <w:p>
      <w:pPr>
        <w:pStyle w:val="Date"/>
      </w:pPr>
      <w:r>
        <w:t xml:space="preserve">Candidate note, draft v1 — 5 September 2026</w:t>
      </w:r>
    </w:p>
    <w:p>
      <w:pPr>
        <w:pStyle w:val="BlockText"/>
      </w:pPr>
      <w:r>
        <w:rPr>
          <w:b/>
          <w:bCs/>
        </w:rPr>
        <w:t xml:space="preserve">DRAFT v1, for John’s edits.</w:t>
      </w:r>
      <w:r>
        <w:t xml:space="preserve"> </w:t>
      </w:r>
      <w:r>
        <w:t xml:space="preserve">John raised this on 5 September, the evening before the Council. It is a candidate for the Foundational Law catalog and is</w:t>
      </w:r>
      <w:r>
        <w:t xml:space="preserve"> </w:t>
      </w:r>
      <w:r>
        <w:rPr>
          <w:b/>
          <w:bCs/>
        </w:rPr>
        <w:t xml:space="preserve">not</w:t>
      </w:r>
      <w:r>
        <w:t xml:space="preserve"> </w:t>
      </w:r>
      <w:r>
        <w:t xml:space="preserve">one of the six asks in the changes note; it is in the packet so the Council knows it is coming. Under the light rule a new law is an</w:t>
      </w:r>
      <w:r>
        <w:t xml:space="preserve"> </w:t>
      </w:r>
      <w:r>
        <w:rPr>
          <w:i/>
          <w:iCs/>
        </w:rPr>
        <w:t xml:space="preserve">Ask</w:t>
      </w:r>
      <w:r>
        <w:t xml:space="preserve">, and the ask comes after the meeting, once John has rewritten the chapter draft in his own words and the Council has had time with it. Nothing here is on the published site. Placement notes are in brackets and are not part of the text.</w:t>
      </w:r>
    </w:p>
    <w:p>
      <w:r>
        <w:pict>
          <v:rect style="width:0;height:1.5pt" o:hralign="center" o:hrstd="t" o:hr="t"/>
        </w:pict>
      </w:r>
    </w:p>
    <w:bookmarkStart w:id="11" w:name="part-a-the-candidate"/>
    <w:p>
      <w:pPr>
        <w:pStyle w:val="Heading1"/>
      </w:pPr>
      <w:r>
        <w:t xml:space="preserve">Part A — The candidate</w:t>
      </w:r>
    </w:p>
    <w:p>
      <w:pPr>
        <w:pStyle w:val="FirstParagraph"/>
      </w:pPr>
      <w:r>
        <w:rPr>
          <w:b/>
          <w:bCs/>
        </w:rPr>
        <w:t xml:space="preserve">As John put it:</w:t>
      </w:r>
      <w:r>
        <w:t xml:space="preserve"> </w:t>
      </w:r>
      <w:r>
        <w:t xml:space="preserve">there may be a foundational law about the parents’ responsibility to teach their children to hear and obey God, and it would be a dyad law.</w:t>
      </w:r>
    </w:p>
    <w:p>
      <w:pPr>
        <w:pStyle w:val="BodyText"/>
      </w:pPr>
      <w:r>
        <w:rPr>
          <w:b/>
          <w:bCs/>
        </w:rPr>
        <w:t xml:space="preserve">Restated as a law, the way the inclusion bar requires.</w:t>
      </w:r>
      <w:r>
        <w:t xml:space="preserve"> </w:t>
      </w:r>
      <w:r>
        <w:t xml:space="preserve">“Parents are responsible to teach”</w:t>
      </w:r>
      <w:r>
        <w:t xml:space="preserve"> </w:t>
      </w:r>
      <w:r>
        <w:t xml:space="preserve">is a duty, and the catalog’s fourth criterion exists to catch exactly that:</w:t>
      </w:r>
      <w:r>
        <w:t xml:space="preserve"> </w:t>
      </w:r>
      <w:r>
        <w:rPr>
          <w:i/>
          <w:iCs/>
        </w:rPr>
        <w:t xml:space="preserve">do not muzzle the ox</w:t>
      </w:r>
      <w:r>
        <w:t xml:space="preserve"> </w:t>
      </w:r>
      <w:r>
        <w:t xml:space="preserve">is the command, and the law is what sits under it. Psalm 78 supplies the cause-and-effect form almost verbatim. God commanded the fathers to teach,</w:t>
      </w:r>
      <w:r>
        <w:t xml:space="preserve"> </w:t>
      </w:r>
      <w:r>
        <w:rPr>
          <w:i/>
          <w:iCs/>
        </w:rPr>
        <w:t xml:space="preserve">so that</w:t>
      </w:r>
      <w:r>
        <w:t xml:space="preserve"> </w:t>
      </w:r>
      <w:r>
        <w:t xml:space="preserve">the next generation might know Him,</w:t>
      </w:r>
      <w:r>
        <w:t xml:space="preserve"> </w:t>
      </w:r>
      <w:r>
        <w:rPr>
          <w:i/>
          <w:iCs/>
        </w:rPr>
        <w:t xml:space="preserve">so that</w:t>
      </w:r>
      <w:r>
        <w:t xml:space="preserve"> </w:t>
      </w:r>
      <w:r>
        <w:t xml:space="preserve">they would set their hope in God and not be like their fathers. Its dark face is Judges 2:10, a generation that did not know the Lord.</w:t>
      </w:r>
    </w:p>
    <w:p>
      <w:pPr>
        <w:pStyle w:val="BodyText"/>
      </w:pPr>
      <w:r>
        <w:rPr>
          <w:b/>
          <w:bCs/>
        </w:rPr>
        <w:t xml:space="preserve">The name.</w:t>
      </w:r>
      <w:r>
        <w:t xml:space="preserve"> </w:t>
      </w:r>
      <w:r>
        <w:rPr>
          <w:i/>
          <w:iCs/>
        </w:rPr>
        <w:t xml:space="preserve">The Household Hearing Law</w:t>
      </w:r>
      <w:r>
        <w:t xml:space="preserve">, to pair with FL.XXI Household Formation, its generational-scale sibling. An alternative is</w:t>
      </w:r>
      <w:r>
        <w:t xml:space="preserve"> </w:t>
      </w:r>
      <w:r>
        <w:rPr>
          <w:i/>
          <w:iCs/>
        </w:rPr>
        <w:t xml:space="preserve">The Trained-Ear Law</w:t>
      </w:r>
      <w:r>
        <w:t xml:space="preserve">, which names the mechanism rather than the place. The numeral FL.XLIX is the next in sequence and is provisional; numbering and placement are the author’s call.</w:t>
      </w:r>
    </w:p>
    <w:bookmarkStart w:id="9" w:name="proposed-attributes"/>
    <w:p>
      <w:pPr>
        <w:pStyle w:val="Heading2"/>
      </w:pPr>
      <w:r>
        <w:t xml:space="preserve">Proposed attributes</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Suggested cell</w:t>
            </w:r>
          </w:p>
        </w:tc>
        <w:tc>
          <w:tcPr/>
          <w:p>
            <w:pPr>
              <w:pStyle w:val="Compact"/>
            </w:pPr>
            <w:r>
              <w:t xml:space="preserve">P2/GII (Dyadic, Heart). The first Foundational Law in that cell; V2.Exp7 Hearing Development is its only neighbor</w:t>
            </w:r>
          </w:p>
        </w:tc>
      </w:tr>
      <w:tr>
        <w:tc>
          <w:tcPr/>
          <w:p>
            <w:pPr>
              <w:pStyle w:val="Compact"/>
            </w:pPr>
            <w:r>
              <w:t xml:space="preserve">Directionality</w:t>
            </w:r>
          </w:p>
        </w:tc>
        <w:tc>
          <w:tcPr/>
          <w:p>
            <w:pPr>
              <w:pStyle w:val="Compact"/>
            </w:pPr>
            <w:r>
              <w:t xml:space="preserve">B (the parent-to-child vector is horizontal; the thing taught, hearing God, is vertical). FL.XXI’s (V) is the precedent if the Council prefers the vertical tag</w:t>
            </w:r>
          </w:p>
        </w:tc>
      </w:tr>
      <w:tr>
        <w:tc>
          <w:tcPr/>
          <w:p>
            <w:pPr>
              <w:pStyle w:val="Compact"/>
            </w:pPr>
            <w:r>
              <w:t xml:space="preserve">Confidence</w:t>
            </w:r>
          </w:p>
        </w:tc>
        <w:tc>
          <w:tcPr/>
          <w:p>
            <w:pPr>
              <w:pStyle w:val="Compact"/>
            </w:pPr>
            <w:r>
              <w:t xml:space="preserve">Newer, still being weighed: Reasonably Inferred, its parts Clearly Taught</w:t>
            </w:r>
          </w:p>
        </w:tc>
      </w:tr>
      <w:tr>
        <w:tc>
          <w:tcPr/>
          <w:p>
            <w:pPr>
              <w:pStyle w:val="Compact"/>
            </w:pPr>
            <w:r>
              <w:t xml:space="preserve">Band</w:t>
            </w:r>
          </w:p>
        </w:tc>
        <w:tc>
          <w:tcPr/>
          <w:p>
            <w:pPr>
              <w:pStyle w:val="Compact"/>
            </w:pPr>
            <w:r>
              <w:t xml:space="preserve">Band 2 (a principle with a scripturally specified pathway: the Shema’s daily rhythm, the Passover’s question-and-answer)</w:t>
            </w:r>
          </w:p>
        </w:tc>
      </w:tr>
      <w:tr>
        <w:tc>
          <w:tcPr/>
          <w:p>
            <w:pPr>
              <w:pStyle w:val="Compact"/>
            </w:pPr>
            <w:r>
              <w:t xml:space="preserve">Layer</w:t>
            </w:r>
          </w:p>
        </w:tc>
        <w:tc>
          <w:tcPr/>
          <w:p>
            <w:pPr>
              <w:pStyle w:val="Compact"/>
            </w:pPr>
            <w:r>
              <w:t xml:space="preserve">Operation (a discrete cause-and-effect pattern, not a continuous condition)</w:t>
            </w:r>
          </w:p>
        </w:tc>
      </w:tr>
      <w:tr>
        <w:tc>
          <w:tcPr/>
          <w:p>
            <w:pPr>
              <w:pStyle w:val="Compact"/>
            </w:pPr>
            <w:r>
              <w:t xml:space="preserve">Scale-range</w:t>
            </w:r>
          </w:p>
        </w:tc>
        <w:tc>
          <w:tcPr/>
          <w:p>
            <w:pPr>
              <w:pStyle w:val="Compact"/>
            </w:pPr>
            <w:r>
              <w:t xml:space="preserve">2 – 12: the household first; then the discipling pair (Eli and Samuel, Paul and Timothy, the older women of Titus 2); then the small body that raises its children together</w:t>
            </w:r>
          </w:p>
        </w:tc>
      </w:tr>
      <w:tr>
        <w:tc>
          <w:tcPr/>
          <w:p>
            <w:pPr>
              <w:pStyle w:val="Compact"/>
            </w:pPr>
            <w:r>
              <w:t xml:space="preserve">Operator</w:t>
            </w:r>
          </w:p>
        </w:tc>
        <w:tc>
          <w:tcPr/>
          <w:p>
            <w:pPr>
              <w:pStyle w:val="Compact"/>
            </w:pPr>
            <w:r>
              <w:t xml:space="preserve">P, with an S+P caveat: the parent teaches the posture, the Spirit gives the ear</w:t>
            </w:r>
          </w:p>
        </w:tc>
      </w:tr>
      <w:tr>
        <w:tc>
          <w:tcPr/>
          <w:p>
            <w:pPr>
              <w:pStyle w:val="Compact"/>
            </w:pPr>
            <w:r>
              <w:t xml:space="preserve">Mirror field</w:t>
            </w:r>
          </w:p>
        </w:tc>
        <w:tc>
          <w:tcPr/>
          <w:p>
            <w:pPr>
              <w:pStyle w:val="Compact"/>
            </w:pPr>
            <w:r>
              <w:t xml:space="preserve">Mirror statement</w:t>
            </w:r>
          </w:p>
        </w:tc>
      </w:tr>
    </w:tbl>
    <w:bookmarkEnd w:id="9"/>
    <w:bookmarkStart w:id="10" w:name="why-it-is-not-already-in-the-catalog"/>
    <w:p>
      <w:pPr>
        <w:pStyle w:val="Heading2"/>
      </w:pPr>
      <w:r>
        <w:t xml:space="preserve">Why it is not already in the catalog</w:t>
      </w:r>
    </w:p>
    <w:p>
      <w:pPr>
        <w:pStyle w:val="FirstParagraph"/>
      </w:pPr>
      <w:r>
        <w:t xml:space="preserve">This is the question the Council will have to settle, and the disposition patterns in the Volume 6 catalog history give it two doors:</w:t>
      </w:r>
      <w:r>
        <w:t xml:space="preserve"> </w:t>
      </w:r>
      <w:r>
        <w:rPr>
          <w:b/>
          <w:bCs/>
        </w:rPr>
        <w:t xml:space="preserve">admission</w:t>
      </w:r>
      <w:r>
        <w:t xml:space="preserve">, when the operational territory is not adequately held by any existing combination of laws, or</w:t>
      </w:r>
      <w:r>
        <w:t xml:space="preserve"> </w:t>
      </w:r>
      <w:r>
        <w:rPr>
          <w:b/>
          <w:bCs/>
        </w:rPr>
        <w:t xml:space="preserve">absorption</w:t>
      </w:r>
      <w:r>
        <w:t xml:space="preserve">, when it is.</w:t>
      </w:r>
    </w:p>
    <w:p>
      <w:pPr>
        <w:pStyle w:val="BodyText"/>
      </w:pPr>
      <w:r>
        <w:rPr>
          <w:b/>
          <w:bCs/>
        </w:rPr>
        <w:t xml:space="preserve">The case for absorption is real.</w:t>
      </w:r>
      <w:r>
        <w:t xml:space="preserve"> </w:t>
      </w:r>
      <w:r>
        <w:t xml:space="preserve">FL.XXI Household Formation already cites Deuteronomy 6, Psalm 78, and Lois and Eunice. Its scale-range already begins at 2. Its mechanism section already says the handing-down</w:t>
      </w:r>
      <w:r>
        <w:t xml:space="preserve"> </w:t>
      </w:r>
      <w:r>
        <w:t xml:space="preserve">“takes deliberate teaching, steady example, and saying out loud what is being passed on,”</w:t>
      </w:r>
      <w:r>
        <w:t xml:space="preserve"> </w:t>
      </w:r>
      <w:r>
        <w:t xml:space="preserve">and its Granddaddy word already says</w:t>
      </w:r>
      <w:r>
        <w:t xml:space="preserve"> </w:t>
      </w:r>
      <w:r>
        <w:t xml:space="preserve">“teach your own children on purpose.”</w:t>
      </w:r>
      <w:r>
        <w:t xml:space="preserve"> </w:t>
      </w:r>
      <w:r>
        <w:t xml:space="preserve">Under the Scale-Invariance and Transfer rule, the parent-and-child instance of FL.XXI is the same loop in a smaller unit, and the catalog’s precedent for that (V2.Exp10 Skill Development) is to call it a worked instance, not a new law.</w:t>
      </w:r>
    </w:p>
    <w:p>
      <w:pPr>
        <w:pStyle w:val="BodyText"/>
      </w:pPr>
      <w:r>
        <w:rPr>
          <w:b/>
          <w:bCs/>
        </w:rPr>
        <w:t xml:space="preserve">The case for admission rests on one distinction, and it holds.</w:t>
      </w:r>
      <w:r>
        <w:t xml:space="preserve"> </w:t>
      </w:r>
      <w:r>
        <w:t xml:space="preserve">FL.XXI transmits</w:t>
      </w:r>
      <w:r>
        <w:t xml:space="preserve"> </w:t>
      </w:r>
      <w:r>
        <w:rPr>
          <w:i/>
          <w:iCs/>
        </w:rPr>
        <w:t xml:space="preserve">content</w:t>
      </w:r>
      <w:r>
        <w:t xml:space="preserve">: the covenant, the faith, the Scriptures, the deposit. This law transmits a</w:t>
      </w:r>
      <w:r>
        <w:t xml:space="preserve"> </w:t>
      </w:r>
      <w:r>
        <w:rPr>
          <w:i/>
          <w:iCs/>
        </w:rPr>
        <w:t xml:space="preserve">capacity</w:t>
      </w:r>
      <w:r>
        <w:t xml:space="preserve">: the child learns to recognize God’s voice and answer it. That is FL.VI, the hear-and-obey engine itself, taught. Nothing in the catalog holds it. The type-text is Eli teaching the boy Samuel what to say when the voice comes, and 1 Samuel 3 appears nowhere in the six volumes. Neither does Ephesians 6:4. FL.XII Honor-Authority takes the child’s half of that passage (verses 1 to 3) and the catalog left the father’s half on the table, along with the manner clause that comes with it: provoke them, and the ear closes. Every other transmission law in Period 4 names a vehicle (FL.XXI household teaching, FL.XXVII thick practice, FL.XIX anointing impartation, FL.XXVIII the nested structure); this names a fifth vehicle at the dyad, training the ear, and it belongs to that family the way FL.XXVII does.</w:t>
      </w:r>
    </w:p>
    <w:p>
      <w:pPr>
        <w:pStyle w:val="BodyText"/>
      </w:pPr>
      <w:r>
        <w:rPr>
          <w:b/>
          <w:bCs/>
        </w:rPr>
        <w:t xml:space="preserve">Recommendation:</w:t>
      </w:r>
      <w:r>
        <w:t xml:space="preserve"> </w:t>
      </w:r>
      <w:r>
        <w:t xml:space="preserve">admit, as FL.XXI’s dyad-scale sibling, with the two chapters cross-referencing each other the way FL.XVII and FL.XXI already do.</w:t>
      </w:r>
    </w:p>
    <w:p>
      <w:r>
        <w:pict>
          <v:rect style="width:0;height:1.5pt" o:hralign="center" o:hrstd="t" o:hr="t"/>
        </w:pict>
      </w:r>
    </w:p>
    <w:bookmarkEnd w:id="10"/>
    <w:bookmarkEnd w:id="11"/>
    <w:bookmarkStart w:id="12" w:name="Xe6d92c081c8ae0c66e825ff78e55b299134567b"/>
    <w:p>
      <w:pPr>
        <w:pStyle w:val="Heading1"/>
      </w:pPr>
      <w:r>
        <w:t xml:space="preserve">Part B — The chapter draft, in the Volume 1 register</w:t>
      </w:r>
    </w:p>
    <w:p>
      <w:pPr>
        <w:pStyle w:val="FirstParagraph"/>
      </w:pPr>
      <w:r>
        <w:t xml:space="preserve">[Chapter-ready draft in the form of the ten newer laws. Divine pronouns capitalized; ESV quotations verbatim. The Granddaddy aside is left for John to dictate. Nothing below is applied to the manuscript.]</w:t>
      </w:r>
    </w:p>
    <w:bookmarkEnd w:id="12"/>
    <w:bookmarkStart w:id="20" w:name="Xd1303e78f46038313c4ed5ac9403df8411b9a9f"/>
    <w:p>
      <w:pPr>
        <w:pStyle w:val="Heading1"/>
      </w:pPr>
      <w:r>
        <w:t xml:space="preserve">Foundational Law XLIX: The Household Hearing Law</w:t>
      </w:r>
    </w:p>
    <w:p>
      <w:pPr>
        <w:pStyle w:val="FirstParagraph"/>
      </w:pPr>
      <w:r>
        <w:t xml:space="preserve">This law is about the first place anyone learns to hear God: at home, from a parent who is learning to hear Him too. Scripture does not leave the next generation’s hearing to chance, or to the church; it puts it in the hands of the father and the mother, in the ordinary hours of the house, and it says plainly what happens when the work is done and what happens when it is not. The claim is narrow. When a parent deliberately teaches a child to recognize God’s voice in His Word and to do what He says, in the everyday rhythm of the household, the child comes to hear and obey Him for themselves. Where that teaching is missing, or is done in a way that shuts the ear instead of opening it, the next generation grows up not knowing Him. It is the dyad-scale sibling of</w:t>
      </w:r>
      <w:r>
        <w:t xml:space="preserve"> </w:t>
      </w:r>
      <w:hyperlink r:id="rId13">
        <w:r>
          <w:rPr>
            <w:rStyle w:val="Hyperlink"/>
          </w:rPr>
          <w:t xml:space="preserve">FL.XXI</w:t>
        </w:r>
      </w:hyperlink>
      <w:r>
        <w:t xml:space="preserve">: that law is about handing on the faith; this one is about handing on the ear. It is one of the newer laws, still being weighed by the wider community.</w:t>
      </w:r>
    </w:p>
    <w:bookmarkStart w:id="14" w:name="the-scriptural-ground"/>
    <w:p>
      <w:pPr>
        <w:pStyle w:val="Heading2"/>
      </w:pPr>
      <w:r>
        <w:t xml:space="preserve">The Scriptural Ground</w:t>
      </w:r>
    </w:p>
    <w:p>
      <w:pPr>
        <w:pStyle w:val="FirstParagraph"/>
      </w:pPr>
      <w:r>
        <w:rPr>
          <w:b/>
          <w:bCs/>
          <w:i/>
          <w:iCs/>
        </w:rPr>
        <w:t xml:space="preserve">Deut. 6:6–7 (ESV)</w:t>
      </w:r>
    </w:p>
    <w:p>
      <w:pPr>
        <w:pStyle w:val="BodyText"/>
      </w:pPr>
      <w:r>
        <w:t xml:space="preserve">“And these words that I command you today shall be on your heart. You shall teach them diligently to your children, and shall talk of them when you sit in your house, and when you walk by the way, and when you lie down, and when you rise.”</w:t>
      </w:r>
    </w:p>
    <w:p>
      <w:pPr>
        <w:pStyle w:val="BodyText"/>
      </w:pPr>
      <w:r>
        <w:t xml:space="preserve">The Shema gives the pathway in detail: the words are on the parent’s own heart first, and then they are taught, not once but</w:t>
      </w:r>
      <w:r>
        <w:t xml:space="preserve"> </w:t>
      </w:r>
      <w:r>
        <w:t xml:space="preserve">“diligently,”</w:t>
      </w:r>
      <w:r>
        <w:t xml:space="preserve"> </w:t>
      </w:r>
      <w:r>
        <w:t xml:space="preserve">and not in a classroom but at the four hinges of an ordinary day. The teaching is talk, woven through the house.</w:t>
      </w:r>
    </w:p>
    <w:p>
      <w:pPr>
        <w:pStyle w:val="BodyText"/>
      </w:pPr>
      <w:r>
        <w:rPr>
          <w:b/>
          <w:bCs/>
          <w:i/>
          <w:iCs/>
        </w:rPr>
        <w:t xml:space="preserve">Ps. 78:5–8 (ESV)</w:t>
      </w:r>
    </w:p>
    <w:p>
      <w:pPr>
        <w:pStyle w:val="BodyText"/>
      </w:pPr>
      <w:r>
        <w:t xml:space="preserve">“He established a testimony in Jacob and appointed a law in Israel, which he commanded our fathers to teach to their children, that the next generation might know them, the children yet unborn, and arise and tell them to their children, so that they should set their hope in God and not forget the works of God, but keep his commandments; and that they should not be like their fathers, a stubborn and rebellious generation, a generation whose heart was not steadfast, whose spirit was not faithful to God.”</w:t>
      </w:r>
    </w:p>
    <w:p>
      <w:pPr>
        <w:pStyle w:val="BodyText"/>
      </w:pPr>
      <w:r>
        <w:t xml:space="preserve">Asaph states the law in cause-and-effect form: the fathers teach,</w:t>
      </w:r>
      <w:r>
        <w:t xml:space="preserve"> </w:t>
      </w:r>
      <w:r>
        <w:rPr>
          <w:i/>
          <w:iCs/>
        </w:rPr>
        <w:t xml:space="preserve">so that</w:t>
      </w:r>
      <w:r>
        <w:t xml:space="preserve"> </w:t>
      </w:r>
      <w:r>
        <w:t xml:space="preserve">the children know,</w:t>
      </w:r>
      <w:r>
        <w:t xml:space="preserve"> </w:t>
      </w:r>
      <w:r>
        <w:rPr>
          <w:i/>
          <w:iCs/>
        </w:rPr>
        <w:t xml:space="preserve">so that</w:t>
      </w:r>
      <w:r>
        <w:t xml:space="preserve"> </w:t>
      </w:r>
      <w:r>
        <w:t xml:space="preserve">they set their hope in God and keep His commandments,</w:t>
      </w:r>
      <w:r>
        <w:t xml:space="preserve"> </w:t>
      </w:r>
      <w:r>
        <w:rPr>
          <w:i/>
          <w:iCs/>
        </w:rPr>
        <w:t xml:space="preserve">so that</w:t>
      </w:r>
      <w:r>
        <w:t xml:space="preserve"> </w:t>
      </w:r>
      <w:r>
        <w:t xml:space="preserve">they do not become the stubborn generation their fathers were. The purpose clauses are the law.</w:t>
      </w:r>
    </w:p>
    <w:p>
      <w:pPr>
        <w:pStyle w:val="BodyText"/>
      </w:pPr>
      <w:r>
        <w:rPr>
          <w:b/>
          <w:bCs/>
          <w:i/>
          <w:iCs/>
        </w:rPr>
        <w:t xml:space="preserve">Gen. 18:19 (ESV)</w:t>
      </w:r>
    </w:p>
    <w:p>
      <w:pPr>
        <w:pStyle w:val="BodyText"/>
      </w:pPr>
      <w:r>
        <w:t xml:space="preserve">“For I have chosen him, that he may command his children and his household after him to keep the way of the Lord by doing righteousness and justice, so that the Lord may bring to Abraham what he has promised him.”</w:t>
      </w:r>
    </w:p>
    <w:p>
      <w:pPr>
        <w:pStyle w:val="BodyText"/>
      </w:pPr>
      <w:r>
        <w:t xml:space="preserve">The reason God gives for choosing Abraham at all is that he will teach his household to keep the way of the Lord. The promise to Abraham runs through that teaching.</w:t>
      </w:r>
    </w:p>
    <w:p>
      <w:pPr>
        <w:pStyle w:val="BodyText"/>
      </w:pPr>
      <w:r>
        <w:rPr>
          <w:b/>
          <w:bCs/>
          <w:i/>
          <w:iCs/>
        </w:rPr>
        <w:t xml:space="preserve">1 Sam. 3:7–10 (ESV)</w:t>
      </w:r>
    </w:p>
    <w:p>
      <w:pPr>
        <w:pStyle w:val="BodyText"/>
      </w:pPr>
      <w:r>
        <w:t xml:space="preserve">“Now Samuel did not yet know the Lord, and the word of the Lord had not yet been revealed to him. And the Lord called Samuel again the third time. And he arose and went to Eli and said,</w:t>
      </w:r>
      <w:r>
        <w:t xml:space="preserve"> </w:t>
      </w:r>
      <w:r>
        <w:t xml:space="preserve">‘Here I am, for you called me.’</w:t>
      </w:r>
      <w:r>
        <w:t xml:space="preserve"> </w:t>
      </w:r>
      <w:r>
        <w:t xml:space="preserve">Then Eli perceived that the Lord was calling the boy. Therefore Eli said to Samuel,</w:t>
      </w:r>
      <w:r>
        <w:t xml:space="preserve"> </w:t>
      </w:r>
      <w:r>
        <w:t xml:space="preserve">‘Go, lie down, and if he calls you, you shall say,</w:t>
      </w:r>
      <w:r>
        <w:t xml:space="preserve"> </w:t>
      </w:r>
      <w:r>
        <w:t xml:space="preserve">“Speak, Lord, for your servant hears.”</w:t>
      </w:r>
      <w:r>
        <w:t xml:space="preserve">’</w:t>
      </w:r>
      <w:r>
        <w:t xml:space="preserve"> </w:t>
      </w:r>
      <w:r>
        <w:t xml:space="preserve">So Samuel went and lay down in his place. And the Lord came and stood, calling as at other times,</w:t>
      </w:r>
      <w:r>
        <w:t xml:space="preserve"> </w:t>
      </w:r>
      <w:r>
        <w:t xml:space="preserve">‘Samuel! Samuel!’</w:t>
      </w:r>
      <w:r>
        <w:t xml:space="preserve"> </w:t>
      </w:r>
      <w:r>
        <w:t xml:space="preserve">And Samuel said,</w:t>
      </w:r>
      <w:r>
        <w:t xml:space="preserve"> </w:t>
      </w:r>
      <w:r>
        <w:t xml:space="preserve">‘Speak, for your servant hears.’</w:t>
      </w:r>
      <w:r>
        <w:t xml:space="preserve">”</w:t>
      </w:r>
    </w:p>
    <w:p>
      <w:pPr>
        <w:pStyle w:val="BodyText"/>
      </w:pPr>
      <w:r>
        <w:t xml:space="preserve">This is the type-text, and it is about the ear rather than the deposit. Samuel is already in the house of the Lord and already serving; what he does not yet have is the ability to recognize the voice. Eli, an old man who failed his own sons, gives the boy the one thing this law is about: what to do when God speaks. The next verse is God speaking, and Samuel hearing.</w:t>
      </w:r>
    </w:p>
    <w:p>
      <w:pPr>
        <w:pStyle w:val="BodyText"/>
      </w:pPr>
      <w:r>
        <w:rPr>
          <w:b/>
          <w:bCs/>
          <w:i/>
          <w:iCs/>
        </w:rPr>
        <w:t xml:space="preserve">Eph. 6:4 (ESV)</w:t>
      </w:r>
    </w:p>
    <w:p>
      <w:pPr>
        <w:pStyle w:val="BodyText"/>
      </w:pPr>
      <w:r>
        <w:t xml:space="preserve">“Fathers, do not provoke your children to anger, but bring them up in the discipline and instruction of the Lord.”</w:t>
      </w:r>
    </w:p>
    <w:p>
      <w:pPr>
        <w:pStyle w:val="BodyText"/>
      </w:pPr>
      <w:r>
        <w:rPr>
          <w:b/>
          <w:bCs/>
          <w:i/>
          <w:iCs/>
        </w:rPr>
        <w:t xml:space="preserve">Col. 3:21 (ESV)</w:t>
      </w:r>
    </w:p>
    <w:p>
      <w:pPr>
        <w:pStyle w:val="BodyText"/>
      </w:pPr>
      <w:r>
        <w:t xml:space="preserve">“Fathers, do not provoke your children, lest they become discouraged.”</w:t>
      </w:r>
    </w:p>
    <w:p>
      <w:pPr>
        <w:pStyle w:val="BodyText"/>
      </w:pPr>
      <w:r>
        <w:t xml:space="preserve">Paul writes the household as reciprocal pairs, and these are the parents’ half of the pair whose children’s half is FL.XII. Both verses put the prohibition first: the</w:t>
      </w:r>
      <w:r>
        <w:t xml:space="preserve"> </w:t>
      </w:r>
      <w:r>
        <w:rPr>
          <w:i/>
          <w:iCs/>
        </w:rPr>
        <w:t xml:space="preserve">manner</w:t>
      </w:r>
      <w:r>
        <w:t xml:space="preserve"> </w:t>
      </w:r>
      <w:r>
        <w:t xml:space="preserve">of the teaching decides whether it opens the ear or closes it. A provoked child does not stop hearing the parent; he stops hearing what the parent was trying to hand him.</w:t>
      </w:r>
    </w:p>
    <w:p>
      <w:pPr>
        <w:pStyle w:val="BodyText"/>
      </w:pPr>
      <w:r>
        <w:rPr>
          <w:b/>
          <w:bCs/>
          <w:i/>
          <w:iCs/>
        </w:rPr>
        <w:t xml:space="preserve">2 Tim. 3:14–15 (ESV)</w:t>
      </w:r>
    </w:p>
    <w:p>
      <w:pPr>
        <w:pStyle w:val="BodyText"/>
      </w:pPr>
      <w:r>
        <w:t xml:space="preserve">“But as for you, continue in what you have learned and have firmly believed, knowing from whom you learned it and how from childhood you have been acquainted with the sacred writings, which are able to make you wise for salvation through faith in Christ Jesus.”</w:t>
      </w:r>
    </w:p>
    <w:p>
      <w:pPr>
        <w:pStyle w:val="BodyText"/>
      </w:pPr>
      <w:r>
        <w:t xml:space="preserve">The result, seen from the far end: a grown man who hears God in the Scriptures, and who can name the two women who taught him to.</w:t>
      </w:r>
    </w:p>
    <w:p>
      <w:pPr>
        <w:pStyle w:val="BodyText"/>
      </w:pPr>
      <w:r>
        <w:rPr>
          <w:b/>
          <w:bCs/>
          <w:i/>
          <w:iCs/>
        </w:rPr>
        <w:t xml:space="preserve">Judg. 2:10 (ESV)</w:t>
      </w:r>
    </w:p>
    <w:p>
      <w:pPr>
        <w:pStyle w:val="BodyText"/>
      </w:pPr>
      <w:r>
        <w:t xml:space="preserve">“And all that generation also were gathered to their fathers. And there arose another generation after them who did not know the Lord or the work that he had done for Israel.”</w:t>
      </w:r>
    </w:p>
    <w:p>
      <w:pPr>
        <w:pStyle w:val="BodyText"/>
      </w:pPr>
      <w:r>
        <w:t xml:space="preserve">The dark face, in one verse. Joshua’s generation had seen everything, and the next did not know the Lord. Nothing is said about apostasy or idols yet; that comes after. What is said is that the knowing did not pass.</w:t>
      </w:r>
    </w:p>
    <w:p>
      <w:pPr>
        <w:pStyle w:val="BodyText"/>
      </w:pPr>
      <w:r>
        <w:rPr>
          <w:b/>
          <w:bCs/>
          <w:i/>
          <w:iCs/>
        </w:rPr>
        <w:t xml:space="preserve">Prov. 22:6 (ESV)</w:t>
      </w:r>
    </w:p>
    <w:p>
      <w:pPr>
        <w:pStyle w:val="BodyText"/>
      </w:pPr>
      <w:r>
        <w:t xml:space="preserve">“Train up a child in the way he should go; even when he is old he will not depart from it.”</w:t>
      </w:r>
    </w:p>
    <w:p>
      <w:pPr>
        <w:pStyle w:val="BodyText"/>
      </w:pPr>
      <w:r>
        <w:t xml:space="preserve">A proverb, not a promise, and it must be read the way this volume reads every law with a delay in it: as the way things ordinarily go, not as a guarantee, and never backward. Run backward it says that a wandering child proves a failed parent, and that is Job’s comforters’ mistake (FL.I) at the family table. Held rightly it says that the training holds, over a long time, more often than not.</w:t>
      </w:r>
    </w:p>
    <w:bookmarkEnd w:id="14"/>
    <w:bookmarkStart w:id="15" w:name="the-mechanism"/>
    <w:p>
      <w:pPr>
        <w:pStyle w:val="Heading2"/>
      </w:pPr>
      <w:r>
        <w:t xml:space="preserve">The Mechanism</w:t>
      </w:r>
    </w:p>
    <w:p>
      <w:pPr>
        <w:pStyle w:val="FirstParagraph"/>
      </w:pPr>
      <w:r>
        <w:t xml:space="preserve">Four things about how this law works.</w:t>
      </w:r>
    </w:p>
    <w:p>
      <w:pPr>
        <w:pStyle w:val="BodyText"/>
      </w:pPr>
      <w:r>
        <w:t xml:space="preserve">First, the teaching is deliberate, daily, and made of talk. The Shema’s four times of day and Deuteronomy 4:9’s</w:t>
      </w:r>
      <w:r>
        <w:t xml:space="preserve"> </w:t>
      </w:r>
      <w:r>
        <w:t xml:space="preserve">“make them known to your children”</w:t>
      </w:r>
      <w:r>
        <w:t xml:space="preserve"> </w:t>
      </w:r>
      <w:r>
        <w:t xml:space="preserve">describe a household soaked in conversation about God, not a curriculum delivered to it. The Passover was designed to start that conversation:</w:t>
      </w:r>
      <w:r>
        <w:t xml:space="preserve"> </w:t>
      </w:r>
      <w:r>
        <w:t xml:space="preserve">“And when your children say to you,</w:t>
      </w:r>
      <w:r>
        <w:t xml:space="preserve"> </w:t>
      </w:r>
      <w:r>
        <w:t xml:space="preserve">‘What do you mean by this service?’</w:t>
      </w:r>
      <w:r>
        <w:t xml:space="preserve"> </w:t>
      </w:r>
      <w:r>
        <w:t xml:space="preserve">you shall say…”</w:t>
      </w:r>
      <w:r>
        <w:t xml:space="preserve"> </w:t>
      </w:r>
      <w:r>
        <w:t xml:space="preserve">(Exod. 12:26–27). The rite is built to make the child ask, and the telling is triggered by the question. Where the talk is missing, the practice can go on for a generation with nothing inside it.</w:t>
      </w:r>
    </w:p>
    <w:p>
      <w:pPr>
        <w:pStyle w:val="BodyText"/>
      </w:pPr>
      <w:r>
        <w:t xml:space="preserve">Second, what is handed on is a capacity, not only a content. FL.XXI names the faith, the covenant, and the Scriptures passing from one generation to the next. This law names the narrower thing underneath: a child learning to recognize the voice and answer it, which is FL.VI itself, taught. Eli hands Samuel a sentence, and the sentence is a posture:</w:t>
      </w:r>
      <w:r>
        <w:t xml:space="preserve"> </w:t>
      </w:r>
      <w:r>
        <w:rPr>
          <w:i/>
          <w:iCs/>
        </w:rPr>
        <w:t xml:space="preserve">Speak, for your servant hears.</w:t>
      </w:r>
      <w:r>
        <w:t xml:space="preserve"> </w:t>
      </w:r>
      <w:r>
        <w:t xml:space="preserve">Once the child has it, the child hears for himself, and the parent is no longer between him and God.</w:t>
      </w:r>
    </w:p>
    <w:p>
      <w:pPr>
        <w:pStyle w:val="BodyText"/>
      </w:pPr>
      <w:r>
        <w:t xml:space="preserve">Third, the manner carries the teaching, and the wrong manner reverses it. Paul’s prohibition comes before his instruction in both letters, and the reason is mechanical. A child takes in what a parent believes in two steps: he has to perceive it accurately, and then he has to accept it as his own. Talk gives the first; warmth gives the second; harshness wins the first and forfeits the second, which is how a home full of religion produces a child who wants none of it. The longest family-religion study on record found that a parent’s closeness roughly doubles what passes, and that a parent’s piety will not make up for a distant father. Volume 3 gathers this evidence in</w:t>
      </w:r>
      <w:r>
        <w:t xml:space="preserve"> </w:t>
      </w:r>
      <w:r>
        <w:rPr>
          <w:i/>
          <w:iCs/>
        </w:rPr>
        <w:t xml:space="preserve">Drift and the Source</w:t>
      </w:r>
      <w:r>
        <w:t xml:space="preserve">, section 7.4; Scripture had the guardrail first.</w:t>
      </w:r>
    </w:p>
    <w:p>
      <w:pPr>
        <w:pStyle w:val="BodyText"/>
      </w:pPr>
      <w:r>
        <w:t xml:space="preserve">Fourth, the parent can teach the posture but cannot give the ear.</w:t>
      </w:r>
      <w:r>
        <w:t xml:space="preserve"> </w:t>
      </w:r>
      <w:r>
        <w:t xml:space="preserve">“Samuel did not yet know the Lord,”</w:t>
      </w:r>
      <w:r>
        <w:t xml:space="preserve"> </w:t>
      </w:r>
      <w:r>
        <w:t xml:space="preserve">and no amount of Eli would have changed that; the Lord came and stood. Jesus says of every disciple,</w:t>
      </w:r>
      <w:r>
        <w:t xml:space="preserve"> </w:t>
      </w:r>
      <w:r>
        <w:t xml:space="preserve">“they will all be taught by God”</w:t>
      </w:r>
      <w:r>
        <w:t xml:space="preserve"> </w:t>
      </w:r>
      <w:r>
        <w:t xml:space="preserve">(John 6:45). The conditions for hearing are heritable, and the hearing itself is not: every child crosses on his own yes. This is what keeps the law from becoming a lever, and what keeps a faithful parent whose child has not yet heard from despair. Josiah, the one king said to have loved the Lord with all his heart and soul and might, was taught nothing of it by his father. The Spirit gives the ear where He wills; the parent’s work is to make the house a place where the voice can be recognized when it comes.</w:t>
      </w:r>
    </w:p>
    <w:bookmarkEnd w:id="15"/>
    <w:bookmarkStart w:id="19" w:name="why-this-is-a-foundational-law"/>
    <w:p>
      <w:pPr>
        <w:pStyle w:val="Heading2"/>
      </w:pPr>
      <w:r>
        <w:t xml:space="preserve">Why This Is a Foundational Law</w:t>
      </w:r>
    </w:p>
    <w:p>
      <w:pPr>
        <w:pStyle w:val="FirstParagraph"/>
      </w:pPr>
      <w:r>
        <w:t xml:space="preserve">The law meets all four tests for inclusion. The backing from many writers is strong: Moses (Deuteronomy and Exodus), Asaph, the Genesis writer, the writer of Samuel, the writer of Judges, Solomon, Paul, and John, across both Testaments and across law, wisdom, narrative, and letter. The dynamic is uncontested across mainstream Christian traditions, which frame the parents’ teaching office differently, as the domestic church, as family worship, as catechesis, as covenant nurture, but not the claim that the parents’ deliberate teaching is where a child first learns to know and obey God. It runs in a clear direction (teaching that opens the ear produces children who hear; its absence, or the harsh kind, produces a generation that does not know Him). And it is a principle rather than a situational command: the Shema and Ephesians 6:4 are its commandment-instantiations, and the law is what they instantiate.</w:t>
      </w:r>
    </w:p>
    <w:p>
      <w:pPr>
        <w:pStyle w:val="BodyText"/>
      </w:pPr>
      <w:r>
        <w:t xml:space="preserve">It is also well-documented in real life, and the evidence is already inside this work: the three-decade family study, the two-step account of how a child takes on a parent’s faith, the finding that natural faith-talk at home outweighs attendance, and the finding that the home, not the program, is where the passing happens, are all in Volume 3 and its research synthesis on formation across generations.</w:t>
      </w:r>
    </w:p>
    <w:p>
      <w:pPr>
        <w:pStyle w:val="BodyText"/>
      </w:pPr>
      <w:r>
        <w:t xml:space="preserve">It is distinct from its neighbors. Not</w:t>
      </w:r>
      <w:r>
        <w:t xml:space="preserve"> </w:t>
      </w:r>
      <w:hyperlink r:id="rId13">
        <w:r>
          <w:rPr>
            <w:rStyle w:val="Hyperlink"/>
          </w:rPr>
          <w:t xml:space="preserve">FL.XXI</w:t>
        </w:r>
      </w:hyperlink>
      <w:r>
        <w:t xml:space="preserve">, which hands on the faith at the generational scale; this hands on the ear at the dyad. Not</w:t>
      </w:r>
      <w:r>
        <w:t xml:space="preserve"> </w:t>
      </w:r>
      <w:hyperlink r:id="rId16">
        <w:r>
          <w:rPr>
            <w:rStyle w:val="Hyperlink"/>
          </w:rPr>
          <w:t xml:space="preserve">FL.XII</w:t>
        </w:r>
      </w:hyperlink>
      <w:r>
        <w:t xml:space="preserve">, which is the child’s half of Paul’s pair; this is the parent’s. Not</w:t>
      </w:r>
      <w:r>
        <w:t xml:space="preserve"> </w:t>
      </w:r>
      <w:hyperlink r:id="rId17">
        <w:r>
          <w:rPr>
            <w:rStyle w:val="Hyperlink"/>
          </w:rPr>
          <w:t xml:space="preserve">FL.XVII</w:t>
        </w:r>
      </w:hyperlink>
      <w:r>
        <w:t xml:space="preserve">, whose transmission happens by default; this never does. Not</w:t>
      </w:r>
      <w:r>
        <w:t xml:space="preserve"> </w:t>
      </w:r>
      <w:hyperlink r:id="rId18">
        <w:r>
          <w:rPr>
            <w:rStyle w:val="Hyperlink"/>
          </w:rPr>
          <w:t xml:space="preserve">FL.XIX</w:t>
        </w:r>
      </w:hyperlink>
      <w:r>
        <w:t xml:space="preserve">, which passes an anointing for ministry; this passes the ordinary hearing every believer needs. Not V2.Exp7, which describes the stages a hearer grows through; this is the parent’s part in starting a child on them.</w:t>
      </w:r>
    </w:p>
    <w:p>
      <w:pPr>
        <w:pStyle w:val="BodyText"/>
      </w:pPr>
      <w:r>
        <w:rPr>
          <w:b/>
          <w:bCs/>
        </w:rPr>
        <w:t xml:space="preserve">Proposed Law (Operational, newer / still-being-tested): When a parent deliberately teaches a child to recognize God’s voice in His Word and to do what He says, in the ordinary rhythm of the household, the child comes to hear and obey Him for themselves; where the teaching is absent, or harsh enough to close the ear, the next generation grows up not knowing Him (Deut. 6:6–7; Ps. 78:5–8; Gen. 18:19; 1 Sam. 3:7–10; Eph. 6:4; 2 Tim. 3:14–15).</w:t>
      </w:r>
    </w:p>
    <w:p>
      <w:pPr>
        <w:pStyle w:val="BodyText"/>
      </w:pPr>
      <w:r>
        <w:rPr>
          <w:b/>
          <w:bCs/>
          <w:i/>
          <w:iCs/>
        </w:rPr>
        <w:t xml:space="preserve">Mirror:</w:t>
      </w:r>
      <w:r>
        <w:t xml:space="preserve"> </w:t>
      </w:r>
      <w:r>
        <w:rPr>
          <w:i/>
          <w:iCs/>
        </w:rPr>
        <w:t xml:space="preserve">The idol-ward face is the ear trained to another voice: the parent’s own, in place of God’s, so that the child learns to hear a person and never learns to hear Him; or the culture’s, when the house says nothing and the world says everything (Judg. 2:10). The two failure faces are the untrained ear, where no one ever told the child what to say when the voice comes, and the provoked ear, closed by harshness (Col. 3:21). The bright face is Eli’s sentence in a child’s mouth:</w:t>
      </w:r>
      <w:r>
        <w:rPr>
          <w:i/>
          <w:iCs/>
        </w:rPr>
        <w:t xml:space="preserve"> </w:t>
      </w:r>
      <w:r>
        <w:rPr>
          <w:i/>
          <w:iCs/>
        </w:rPr>
        <w:t xml:space="preserve">“Speak, for your servant hears.”</w:t>
      </w:r>
    </w:p>
    <w:p>
      <w:pPr>
        <w:pStyle w:val="BodyText"/>
      </w:pPr>
      <w:r>
        <w:rPr>
          <w:b/>
          <w:bCs/>
          <w:i/>
          <w:iCs/>
        </w:rPr>
        <w:t xml:space="preserve">Certainty: newer — still being weighed (Reasonably Inferred; its parts Clearly Taught).</w:t>
      </w:r>
      <w:r>
        <w:t xml:space="preserve"> </w:t>
      </w:r>
      <w:r>
        <w:rPr>
          <w:i/>
          <w:iCs/>
        </w:rPr>
        <w:t xml:space="preserve">Every part rests on plainly taught ground: the Shema’s diligent teaching, Asaph’s purpose clauses, Abraham’s commission, Paul’s charge to fathers, Timothy’s childhood in the Scriptures. That the parents’ deliberate teaching produces children who know and obey God is Clearly Taught. What is newer is the narrower principle gathered from them: that the specific thing handed on is the capacity to hear His voice for oneself, as Eli hands it to Samuel. That reading rides on the same ground as FL.VI and on the twin the Four Foundational Principles now state outright, that the God who spoke still speaks and can be heard. Its tags: P2/GII, B; Band 2.</w:t>
      </w:r>
    </w:p>
    <w:p>
      <w:pPr>
        <w:pStyle w:val="BodyText"/>
      </w:pPr>
      <w:r>
        <w:rPr>
          <w:b/>
          <w:bCs/>
        </w:rPr>
        <w:t xml:space="preserve">A word from your Granddaddy.</w:t>
      </w:r>
      <w:r>
        <w:t xml:space="preserve"> </w:t>
      </w:r>
      <w:r>
        <w:t xml:space="preserve">[Left for John.]</w:t>
      </w:r>
    </w:p>
    <w:p>
      <w:r>
        <w:pict>
          <v:rect style="width:0;height:1.5pt" o:hralign="center" o:hrstd="t" o:hr="t"/>
        </w:pict>
      </w:r>
    </w:p>
    <w:bookmarkEnd w:id="19"/>
    <w:bookmarkEnd w:id="20"/>
    <w:bookmarkStart w:id="21" w:name="Xb786e6faabc50ab7f3248c4ec8894deef862d52"/>
    <w:p>
      <w:pPr>
        <w:pStyle w:val="Heading1"/>
      </w:pPr>
      <w:r>
        <w:t xml:space="preserve">Part C — What this candidate tests in the table</w:t>
      </w:r>
    </w:p>
    <w:p>
      <w:pPr>
        <w:pStyle w:val="FirstParagraph"/>
      </w:pPr>
      <w:r>
        <w:t xml:space="preserve">[For the Council; not part of the chapter.]</w:t>
      </w:r>
    </w:p>
    <w:p>
      <w:pPr>
        <w:numPr>
          <w:ilvl w:val="0"/>
          <w:numId w:val="1001"/>
        </w:numPr>
      </w:pPr>
      <w:r>
        <w:rPr>
          <w:b/>
          <w:bCs/>
        </w:rPr>
        <w:t xml:space="preserve">Period 2 has no downward dyad law.</w:t>
      </w:r>
      <w:r>
        <w:t xml:space="preserve"> </w:t>
      </w:r>
      <w:r>
        <w:t xml:space="preserve">FL.XII Honor-Authority is the upward face (child to parent, citizen to ruler, member to elder) and has no pair; FL.XXXIV Marriage is a peer covenant. Paul’s household code is reciprocal, and the catalog took one half of it. The Volume 6 appendix already names Period 2 as under-populated; this candidate names the missing class: the one with authority is responsible to form the one entrusted to them. If it is admitted, the Council may wish to note that the same class holds other unmined pairs (Eph. 6:9 and Col. 4:1, masters; Titus 2:3–5, older to younger).</w:t>
      </w:r>
    </w:p>
    <w:p>
      <w:pPr>
        <w:numPr>
          <w:ilvl w:val="0"/>
          <w:numId w:val="1001"/>
        </w:numPr>
      </w:pPr>
      <w:r>
        <w:rPr>
          <w:b/>
          <w:bCs/>
        </w:rPr>
        <w:t xml:space="preserve">FL.XXI’s scale-range bends.</w:t>
      </w:r>
      <w:r>
        <w:t xml:space="preserve"> </w:t>
      </w:r>
      <w:r>
        <w:t xml:space="preserve">Its range is written as 2 to 12, which claims the dyad, while its whole articulation is generational: a thousand generations, the Lois-Eunice-Timothy chain, the roll-call of Hebrews 11. The scale-range attribute is doing quiet work that the Period 4 placement does not honor. If this law is admitted, FL.XXI’s range should probably be read from 3 upward, with FL.XLIX holding 2; if it is absorbed, FL.XXI needs a fourth mechanism paragraph on the ear.</w:t>
      </w:r>
    </w:p>
    <w:p>
      <w:pPr>
        <w:numPr>
          <w:ilvl w:val="0"/>
          <w:numId w:val="1001"/>
        </w:numPr>
      </w:pPr>
      <w:r>
        <w:rPr>
          <w:b/>
          <w:bCs/>
        </w:rPr>
        <w:t xml:space="preserve">The Group label is blurry for a law that teaches a skill.</w:t>
      </w:r>
      <w:r>
        <w:t xml:space="preserve"> </w:t>
      </w:r>
      <w:r>
        <w:t xml:space="preserve">This could sit in Heart (beside V2.Exp7 Hearing Development, under FL.XXI’s column), in Body and Action (beside FL.VI and FL.XII), or in Structural Frame (the household as the school). Heart is proposed because what is formed is the child’s orientation toward the voice, but the Council should expect this ambiguity to recur for any law whose content is a taught capacity; V2.Exp10 Skill Development had the same trouble.</w:t>
      </w:r>
    </w:p>
    <w:p>
      <w:pPr>
        <w:numPr>
          <w:ilvl w:val="0"/>
          <w:numId w:val="1001"/>
        </w:numPr>
      </w:pPr>
      <w:r>
        <w:rPr>
          <w:b/>
          <w:bCs/>
        </w:rPr>
        <w:t xml:space="preserve">The command-versus-principle bar held.</w:t>
      </w:r>
      <w:r>
        <w:t xml:space="preserve"> </w:t>
      </w:r>
      <w:r>
        <w:t xml:space="preserve">The candidate arrived duty-shaped, and the fourth criterion forced the restatement. That is the bar working as designed.</w:t>
      </w:r>
    </w:p>
    <w:p>
      <w:pPr>
        <w:numPr>
          <w:ilvl w:val="0"/>
          <w:numId w:val="1001"/>
        </w:numPr>
      </w:pPr>
      <w:r>
        <w:rPr>
          <w:b/>
          <w:bCs/>
        </w:rPr>
        <w:t xml:space="preserve">The traceability grid gains a Direct row.</w:t>
      </w:r>
      <w:r>
        <w:t xml:space="preserve"> </w:t>
      </w:r>
      <w:r>
        <w:t xml:space="preserve">On the hear-and-obey traceability study (Ask 5), this would be the first law whose content</w:t>
      </w:r>
      <w:r>
        <w:t xml:space="preserve"> </w:t>
      </w:r>
      <w:r>
        <w:rPr>
          <w:i/>
          <w:iCs/>
        </w:rPr>
        <w:t xml:space="preserve">is</w:t>
      </w:r>
      <w:r>
        <w:t xml:space="preserve"> </w:t>
      </w:r>
      <w:r>
        <w:t xml:space="preserve">FL.VI transmitted; it traces Direct by construction.</w:t>
      </w:r>
    </w:p>
    <w:p>
      <w:r>
        <w:pict>
          <v:rect style="width:0;height:1.5pt" o:hralign="center" o:hrstd="t" o:hr="t"/>
        </w:pict>
      </w:r>
    </w:p>
    <w:bookmarkEnd w:id="21"/>
    <w:bookmarkStart w:id="22" w:name="part-d-what-admission-would-touch"/>
    <w:p>
      <w:pPr>
        <w:pStyle w:val="Heading1"/>
      </w:pPr>
      <w:r>
        <w:t xml:space="preserve">Part D — What admission would touch</w:t>
      </w:r>
    </w:p>
    <w:p>
      <w:pPr>
        <w:pStyle w:val="FirstParagraph"/>
      </w:pPr>
      <w:r>
        <w:t xml:space="preserve">[Sequence for after the Council, on John’s word; all on the working repository first, mirrored on his word.]</w:t>
      </w:r>
    </w:p>
    <w:p>
      <w:pPr>
        <w:pStyle w:val="Compact"/>
        <w:numPr>
          <w:ilvl w:val="0"/>
          <w:numId w:val="1002"/>
        </w:numPr>
      </w:pPr>
      <w:r>
        <w:t xml:space="preserve">Volume 1: the new chapter; the Foundational Laws table page (the</w:t>
      </w:r>
      <w:r>
        <w:t xml:space="preserve"> </w:t>
      </w:r>
      <w:r>
        <w:t xml:space="preserve">“ten newer laws”</w:t>
      </w:r>
      <w:r>
        <w:t xml:space="preserve"> </w:t>
      </w:r>
      <w:r>
        <w:t xml:space="preserve">heading becomes eleven, and the intro sentence that counts them); cross-references in FL.XXI (sibling) and FL.XII (pair); the Master Law Index row; the Periodic Table cell P2/GII and its Period 2 coverage note; the Volume 6 catalog-history admission record; the Volume 1 claims registry entry; the traceability study at 49 laws with its grid regenerated; the search index.</w:t>
      </w:r>
    </w:p>
    <w:p>
      <w:pPr>
        <w:pStyle w:val="Compact"/>
        <w:numPr>
          <w:ilvl w:val="0"/>
          <w:numId w:val="1002"/>
        </w:numPr>
      </w:pPr>
      <w:r>
        <w:t xml:space="preserve">Volume 2: one sentence in</w:t>
      </w:r>
      <w:r>
        <w:t xml:space="preserve"> </w:t>
      </w:r>
      <w:r>
        <w:rPr>
          <w:i/>
          <w:iCs/>
        </w:rPr>
        <w:t xml:space="preserve">Before the Tools</w:t>
      </w:r>
      <w:r>
        <w:t xml:space="preserve">, assumption 4, could point to it as the household’s part in</w:t>
      </w:r>
      <w:r>
        <w:t xml:space="preserve"> </w:t>
      </w:r>
      <w:r>
        <w:t xml:space="preserve">“formation is never solitary.”</w:t>
      </w:r>
      <w:r>
        <w:t xml:space="preserve"> </w:t>
      </w:r>
      <w:r>
        <w:t xml:space="preserve">Optional.</w:t>
      </w:r>
    </w:p>
    <w:p>
      <w:pPr>
        <w:pStyle w:val="Compact"/>
        <w:numPr>
          <w:ilvl w:val="0"/>
          <w:numId w:val="1002"/>
        </w:numPr>
      </w:pPr>
      <w:r>
        <w:t xml:space="preserve">Fellowship of the Heart: this is the scriptural spine for keeping parents in the re-launch design even if the sessions go teen-led. The interviews blamed the parent-present hour; the law says the home is where the hearing is taught, which argues for parents as practitioners in the design rather than as an attendance requirement. That is a design question for the pilot, not a change to this note.</w:t>
      </w:r>
    </w:p>
    <w:p>
      <w:r>
        <w:pict>
          <v:rect style="width:0;height:1.5pt" o:hralign="center" o:hrstd="t" o:hr="t"/>
        </w:pict>
      </w:r>
    </w:p>
    <w:p>
      <w:pPr>
        <w:pStyle w:val="FirstParagraph"/>
      </w:pPr>
      <w:r>
        <w:rPr>
          <w:i/>
          <w:iCs/>
        </w:rPr>
        <w:t xml:space="preserve">Prepared for John’s review, 5 September 2026, from his question that evening. For the Council’s notice on 6 September; the ask follows the meeting, in John’s words.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foundational-law-xii-the-honor-authority-flourishing.md" TargetMode="External" /><Relationship Type="http://schemas.openxmlformats.org/officeDocument/2006/relationships/hyperlink" Id="rId18" Target="foundational-law-xix-the-spirit-anointing-transmission-law.md" TargetMode="External" /><Relationship Type="http://schemas.openxmlformats.org/officeDocument/2006/relationships/hyperlink" Id="rId17" Target="foundational-law-xvii-the-substitution-cascade-law.md" TargetMode="External" /><Relationship Type="http://schemas.openxmlformats.org/officeDocument/2006/relationships/hyperlink" Id="rId13" Target="foundational-law-xxi-the-household-formation-law.md" TargetMode="External" /></Relationships>
</file>

<file path=word/_rels/footnotes.xml.rels><?xml version="1.0" encoding="UTF-8"?><Relationships xmlns="http://schemas.openxmlformats.org/package/2006/relationships"><Relationship Type="http://schemas.openxmlformats.org/officeDocument/2006/relationships/hyperlink" Id="rId16" Target="foundational-law-xii-the-honor-authority-flourishing.md" TargetMode="External" /><Relationship Type="http://schemas.openxmlformats.org/officeDocument/2006/relationships/hyperlink" Id="rId18" Target="foundational-law-xix-the-spirit-anointing-transmission-law.md" TargetMode="External" /><Relationship Type="http://schemas.openxmlformats.org/officeDocument/2006/relationships/hyperlink" Id="rId17" Target="foundational-law-xvii-the-substitution-cascade-law.md" TargetMode="External" /><Relationship Type="http://schemas.openxmlformats.org/officeDocument/2006/relationships/hyperlink" Id="rId13" Target="foundational-law-xxi-the-household-formation-law.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FL.XLIX — The Household Hearing Law</dc:title>
  <dc:creator>John G. Tittle</dc:creator>
  <cp:keywords/>
  <dcterms:created xsi:type="dcterms:W3CDTF">2026-09-05T20:28:10Z</dcterms:created>
  <dcterms:modified xsi:type="dcterms:W3CDTF">2026-09-05T20:28:10Z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Candidate note, draft v1 — 5 September 2026</vt:lpwstr>
  </property>
  <property fmtid="{D5CDD505-2E9C-101B-9397-08002B2CF9AE}" pid="3" name="subtitle">
    <vt:lpwstr>A candidate Foundational Law, written up in the form of the June drafting pass</vt:lpwstr>
  </property>
</Properties>
</file>