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sz w:val="36"/>
          <w:szCs w:val="36"/>
        </w:rPr>
        <w:t xml:space="preserve">Intentional Journey of the Heart</w:t>
      </w:r>
    </w:p>
    <w:p>
      <w:pPr>
        <w:spacing w:after="240"/>
        <w:jc w:val="center"/>
      </w:pPr>
      <w:r>
        <w:rPr>
          <w:rFonts w:ascii="Arial" w:cs="Arial" w:eastAsia="Arial" w:hAnsi="Arial"/>
          <w:b/>
          <w:bCs/>
          <w:sz w:val="32"/>
          <w:szCs w:val="32"/>
        </w:rPr>
        <w:t xml:space="preserve">Vol 5 Periodic Table — Third-Axis Implementation</w:t>
      </w:r>
    </w:p>
    <w:p>
      <w:pPr>
        <w:spacing w:after="720"/>
        <w:jc w:val="center"/>
      </w:pPr>
      <w:r>
        <w:rPr>
          <w:rFonts w:ascii="Arial" w:cs="Arial" w:eastAsia="Arial" w:hAnsi="Arial"/>
          <w:i/>
          <w:iCs/>
          <w:sz w:val="24"/>
          <w:szCs w:val="24"/>
        </w:rPr>
        <w:t xml:space="preserve">Publication-Ready Markdown Bundle · Version v5_6_0_5</w:t>
      </w:r>
    </w:p>
    <w:p>
      <w:pPr>
        <w:spacing w:after="120"/>
        <w:jc w:val="center"/>
      </w:pPr>
      <w:r>
        <w:rPr>
          <w:rFonts w:ascii="Arial" w:cs="Arial" w:eastAsia="Arial" w:hAnsi="Arial"/>
          <w:sz w:val="22"/>
          <w:szCs w:val="22"/>
        </w:rPr>
        <w:t xml:space="preserve">Prepared for John G. Tittle</w:t>
      </w:r>
    </w:p>
    <w:p>
      <w:pPr>
        <w:spacing w:after="720"/>
        <w:jc w:val="center"/>
      </w:pPr>
      <w:r>
        <w:rPr>
          <w:rFonts w:ascii="Arial" w:cs="Arial" w:eastAsia="Arial" w:hAnsi="Arial"/>
          <w:sz w:val="22"/>
          <w:szCs w:val="22"/>
        </w:rPr>
        <w:t xml:space="preserve">May 20, 2026</w:t>
      </w:r>
    </w:p>
    <w:p>
      <w:r>
        <w:br w:type="page"/>
      </w:r>
    </w:p>
    <w:p>
      <w:pPr>
        <w:pStyle w:val="Heading1"/>
        <w:spacing w:after="240" w:before="360"/>
      </w:pPr>
      <w:r>
        <w:rPr>
          <w:rFonts w:ascii="Arial" w:cs="Arial" w:eastAsia="Arial" w:hAnsi="Arial"/>
          <w:b/>
          <w:bCs/>
          <w:sz w:val="36"/>
          <w:szCs w:val="36"/>
        </w:rPr>
        <w:t xml:space="preserve">Implementation Summary</w:t>
      </w:r>
    </w:p>
    <w:p>
      <w:pPr>
        <w:spacing w:after="160" w:line="300"/>
      </w:pPr>
      <w:r>
        <w:rPr>
          <w:rFonts w:ascii="Arial" w:cs="Arial" w:eastAsia="Arial" w:hAnsi="Arial"/>
          <w:b w:val="false"/>
          <w:bCs w:val="false"/>
          <w:i w:val="false"/>
          <w:iCs w:val="false"/>
          <w:sz w:val="22"/>
          <w:szCs w:val="22"/>
        </w:rPr>
        <w:t xml:space="preserve">This document is the review companion to the publication-ready markdown bundle that implements the third-axis test recommendation. The test, documented in </w:t>
      </w:r>
      <w:r>
        <w:rPr>
          <w:rFonts w:ascii="Arial" w:cs="Arial" w:eastAsia="Arial" w:hAnsi="Arial"/>
          <w:b w:val="false"/>
          <w:bCs w:val="false"/>
          <w:i/>
          <w:iCs/>
          <w:sz w:val="22"/>
          <w:szCs w:val="22"/>
        </w:rPr>
        <w:t xml:space="preserve">IJH_Vol5_Periodic_Table_Third_Axis_Test_v1.docx</w:t>
      </w:r>
      <w:r>
        <w:rPr>
          <w:rFonts w:ascii="Arial" w:cs="Arial" w:eastAsia="Arial" w:hAnsi="Arial"/>
          <w:b w:val="false"/>
          <w:bCs w:val="false"/>
          <w:i w:val="false"/>
          <w:iCs w:val="false"/>
          <w:sz w:val="22"/>
          <w:szCs w:val="22"/>
        </w:rPr>
        <w:t xml:space="preserve">, examined whether orientation of pursuit (God-ward vs. idol-ward) should be promoted from an entry-level attribute to a structural dimension of the Vol 5 Periodic Table. The test concluded that Form B — Systematic Mirror Discipline at the entry level — is the right structural integration for the dimension at the present density of inverse-law content. This document and the accompanying markdown files implement that recommendation.</w:t>
      </w:r>
    </w:p>
    <w:p>
      <w:pPr>
        <w:pStyle w:val="Heading2"/>
        <w:spacing w:after="160" w:before="240"/>
      </w:pPr>
      <w:r>
        <w:rPr>
          <w:rFonts w:ascii="Arial" w:cs="Arial" w:eastAsia="Arial" w:hAnsi="Arial"/>
          <w:b/>
          <w:bCs/>
          <w:sz w:val="30"/>
          <w:szCs w:val="30"/>
        </w:rPr>
        <w:t xml:space="preserve">What this implementation does</w:t>
      </w:r>
    </w:p>
    <w:p>
      <w:pPr>
        <w:spacing w:after="160" w:line="300"/>
      </w:pPr>
      <w:r>
        <w:rPr>
          <w:rFonts w:ascii="Arial" w:cs="Arial" w:eastAsia="Arial" w:hAnsi="Arial"/>
          <w:b w:val="false"/>
          <w:bCs w:val="false"/>
          <w:i w:val="false"/>
          <w:iCs w:val="false"/>
          <w:sz w:val="22"/>
          <w:szCs w:val="22"/>
        </w:rPr>
        <w:t xml:space="preserve">The implementation makes five concrete changes across the IJH corpus.</w:t>
      </w:r>
    </w:p>
    <w:p>
      <w:pPr>
        <w:spacing w:after="160" w:line="300"/>
      </w:pPr>
      <w:r>
        <w:rPr>
          <w:rFonts w:ascii="Arial" w:cs="Arial" w:eastAsia="Arial" w:hAnsi="Arial"/>
          <w:b w:val="false"/>
          <w:bCs w:val="false"/>
          <w:i w:val="false"/>
          <w:iCs w:val="false"/>
          <w:sz w:val="22"/>
          <w:szCs w:val="22"/>
        </w:rPr>
        <w:t xml:space="preserve">First, it adds four new Foundational Laws (FL.XIV through FL.XVII) to Volume 1, each with full chapter content following the FL.VIII Desire-for-God template — Scriptural Ground (multi-author scripture witnesses in ESV), Mechanism (three operational features), Why This Is a Foundational Law (multi-author count, broad-acceptance argument, testability), the Proposed Law statement, and the italicized Certainty rationale. The four new Foundational Laws are: FL.XIV The Vanity-of-Substitutes Law (at P1/GII, paired with FL.VIII Desire-for-God); FL.XV The Hardening Law (at P0/GI, peer to V1.Exp6 Obedience Channel with wider scope, includes a light-touch clause noting that mainstream Christian traditions theologize divine-vs-human agency differently); FL.XVI The Bondage Law (at P0/GV, paired with FL.VI Hear-and-Obey Blessing); and FL.XVII The Substitution-Cascade Law (at P4/GII, paired with the still-Open Household Formation Law).</w:t>
      </w:r>
    </w:p>
    <w:p>
      <w:pPr>
        <w:spacing w:after="160" w:line="300"/>
      </w:pPr>
      <w:r>
        <w:rPr>
          <w:rFonts w:ascii="Arial" w:cs="Arial" w:eastAsia="Arial" w:hAnsi="Arial"/>
          <w:b w:val="false"/>
          <w:bCs w:val="false"/>
          <w:i w:val="false"/>
          <w:iCs w:val="false"/>
          <w:sz w:val="22"/>
          <w:szCs w:val="22"/>
        </w:rPr>
        <w:t xml:space="preserve">Second, it adds one new Speculative entry (the Counter-Resonance Law at P2/GI, paired with V1.Exp8 Prayer Resonance) to the Vol 5 Periodic Table reference list. Per the v1 deliverable's analysis the Counter-Resonance Law was demoted at v5_6_0_4 on weaker cross-author support and tradition-difference concerns; the v5_6_0_5 implementation promotes it to accepted at the Speculative ◆ tier — the most conservative of the two viable confidence-tier options.</w:t>
      </w:r>
    </w:p>
    <w:p>
      <w:pPr>
        <w:spacing w:after="160" w:line="300"/>
      </w:pPr>
      <w:r>
        <w:rPr>
          <w:rFonts w:ascii="Arial" w:cs="Arial" w:eastAsia="Arial" w:hAnsi="Arial"/>
          <w:b w:val="false"/>
          <w:bCs w:val="false"/>
          <w:i w:val="false"/>
          <w:iCs w:val="false"/>
          <w:sz w:val="22"/>
          <w:szCs w:val="22"/>
        </w:rPr>
        <w:t xml:space="preserve">Third, it applies Mirror Discipline to all 33 entries in the Periodic Table reference list. Every entry now carries a Mirror field in one of three forms: Mirror statement (where the law has a recognizable idol-ward expression with its own multi-author scriptural support), Constitutive marker (where the law's content is itself the orientation, as with Heart-Throne, Desire-for-God, Vanity-of-Substitutes, Worship Alignment, and Attention Economy of the Soul), or Orientation-neutral marker (where the law's mechanism does not carry orientation, as with the Nested Person Structure, the Emotional Knot Law, the Tool-Application Law, the Skill Development Law, the Sin Blockage Law, and the Miracle Frame). The Mirror discipline is intended to be permanent; future revisions adding new entries should add the Mirror field at the time of addition.</w:t>
      </w:r>
    </w:p>
    <w:p>
      <w:pPr>
        <w:spacing w:after="160" w:line="300"/>
      </w:pPr>
      <w:r>
        <w:rPr>
          <w:rFonts w:ascii="Arial" w:cs="Arial" w:eastAsia="Arial" w:hAnsi="Arial"/>
          <w:b w:val="false"/>
          <w:bCs w:val="false"/>
          <w:i w:val="false"/>
          <w:iCs w:val="false"/>
          <w:sz w:val="22"/>
          <w:szCs w:val="22"/>
        </w:rPr>
        <w:t xml:space="preserve">Fourth, it updates the Volume 1 Foundational Laws overview chapter from "Thirteen" to "Seventeen Operational Laws of Wide Consent," with the four new laws integrated into the chapter's intro paragraphs, structural-observations section, and summary table. The chapter file should be renamed accordingly.</w:t>
      </w:r>
    </w:p>
    <w:p>
      <w:pPr>
        <w:spacing w:after="160" w:line="300"/>
      </w:pPr>
      <w:r>
        <w:rPr>
          <w:rFonts w:ascii="Arial" w:cs="Arial" w:eastAsia="Arial" w:hAnsi="Arial"/>
          <w:b w:val="false"/>
          <w:bCs w:val="false"/>
          <w:i w:val="false"/>
          <w:iCs w:val="false"/>
          <w:sz w:val="22"/>
          <w:szCs w:val="22"/>
        </w:rPr>
        <w:t xml:space="preserve">Fifth, it adds reciprocal cross-reference additions to the FL.III, FL.VI, and FL.VIII chapters so that the new pairings are visible from both sides — when a reader is reading FL.VIII, the page now names the pairing with FL.XIV; when a reader is reading FL.VI, the page now names the pairing with FL.XVI; and so on.</w:t>
      </w:r>
    </w:p>
    <w:p>
      <w:pPr>
        <w:pStyle w:val="Heading2"/>
        <w:spacing w:after="160" w:before="240"/>
      </w:pPr>
      <w:r>
        <w:rPr>
          <w:rFonts w:ascii="Arial" w:cs="Arial" w:eastAsia="Arial" w:hAnsi="Arial"/>
          <w:b/>
          <w:bCs/>
          <w:sz w:val="30"/>
          <w:szCs w:val="30"/>
        </w:rPr>
        <w:t xml:space="preserve">Files affected</w:t>
      </w:r>
    </w:p>
    <w:p>
      <w:pPr>
        <w:spacing w:after="160" w:line="300"/>
      </w:pPr>
      <w:r>
        <w:rPr>
          <w:rFonts w:ascii="Arial" w:cs="Arial" w:eastAsia="Arial" w:hAnsi="Arial"/>
          <w:b w:val="false"/>
          <w:bCs w:val="false"/>
          <w:i w:val="false"/>
          <w:iCs w:val="false"/>
          <w:sz w:val="22"/>
          <w:szCs w:val="22"/>
        </w:rPr>
        <w:t xml:space="preserve">Seven markdown files comprise the publication-ready bundle. Four are full new chapters: foundational-law-xiv-the-vanity-of-substitutes-law.md, foundational-law-xv-the-hardening-law.md, foundational-law-xvi-the-bondage-law.md, and foundational-law-xvii-the-substitution-cascade-law.md. Two are full replacement files for existing pages: foundational-laws-seventeen-operational-laws-of-wide.md (replaces the existing "Thirteen" overview page) and periodic-table-of-spiritual-laws-a-summing.md (replaces the existing Vol 5 Periodic Table chapter in full). One is a snippet-and-anchor file for targeted additions to three existing FL chapters: cross-references-to-existing-FL-chapters.md.</w:t>
      </w:r>
    </w:p>
    <w:p>
      <w:pPr>
        <w:pStyle w:val="Heading2"/>
        <w:spacing w:after="160" w:before="240"/>
      </w:pPr>
      <w:r>
        <w:rPr>
          <w:rFonts w:ascii="Arial" w:cs="Arial" w:eastAsia="Arial" w:hAnsi="Arial"/>
          <w:b/>
          <w:bCs/>
          <w:sz w:val="30"/>
          <w:szCs w:val="30"/>
        </w:rPr>
        <w:t xml:space="preserve">Version tag and revision history</w:t>
      </w:r>
    </w:p>
    <w:p>
      <w:pPr>
        <w:spacing w:after="160" w:line="300"/>
      </w:pPr>
      <w:r>
        <w:rPr>
          <w:rFonts w:ascii="Arial" w:cs="Arial" w:eastAsia="Arial" w:hAnsi="Arial"/>
          <w:b w:val="false"/>
          <w:bCs w:val="false"/>
          <w:i w:val="false"/>
          <w:iCs w:val="false"/>
          <w:sz w:val="22"/>
          <w:szCs w:val="22"/>
        </w:rPr>
        <w:t xml:space="preserve">The Vol 5 Periodic Table chapter is tagged v5_6_0_5 in this implementation, advancing from v5_6_0_4. The Volume 1 Foundational Laws set is tagged v5_6_0_19, advancing from v5_6_0_18 which had added FL.III Heart-Throne and FL.VIII Desire-for-God. The third-axis test that produced this implementation is documented as IJH_Vol5_Periodic_Table_Third_Axis_Test_v1.docx in the v5_6_0_5 changelog.</w:t>
      </w:r>
    </w:p>
    <w:p>
      <w:pPr>
        <w:pStyle w:val="Heading2"/>
        <w:spacing w:after="160" w:before="240"/>
      </w:pPr>
      <w:r>
        <w:rPr>
          <w:rFonts w:ascii="Arial" w:cs="Arial" w:eastAsia="Arial" w:hAnsi="Arial"/>
          <w:b/>
          <w:bCs/>
          <w:sz w:val="30"/>
          <w:szCs w:val="30"/>
        </w:rPr>
        <w:t xml:space="preserve">What this implementation does not do</w:t>
      </w:r>
    </w:p>
    <w:p>
      <w:pPr>
        <w:spacing w:after="160" w:line="300"/>
      </w:pPr>
      <w:r>
        <w:rPr>
          <w:rFonts w:ascii="Arial" w:cs="Arial" w:eastAsia="Arial" w:hAnsi="Arial"/>
          <w:b w:val="false"/>
          <w:bCs w:val="false"/>
          <w:i w:val="false"/>
          <w:iCs w:val="false"/>
          <w:sz w:val="22"/>
          <w:szCs w:val="22"/>
        </w:rPr>
        <w:t xml:space="preserve">The implementation does not adjudicate the divine-vs-human agency interplay in the Hardening Law's exposition — the chapter notes that mainstream Christian traditions theologize the interplay differently (Reformed, Wesleyan-Arminian, Catholic, Orthodox) and operates at the level of the operational dynamic all mainstream traditions hold in common, per the author's "light touch only" direction. The implementation does not resolve the fifth-periodicity question (designed-orientation as a possible fifth axis of analysis); it notes that the question is now more sharply posed by the FL.VIII / FL.XIV paired-law pattern but continues to reserve it for future revision. The implementation does not articulate the still-Open Household Formation Law at P4/GII; the law's idol-ward face is named as FL.XVII Substitution-Cascade, and the God-ward face remains an Open Unknown pending future articulation. The implementation does not add cross-reference additions to the ten existing FL chapters whose pairing with the new laws is indirect or whose orientation content is already adequately handled at the Mirror discipline level in the Vol 5 reference list.</w:t>
      </w:r>
    </w:p>
    <w:p>
      <w:pPr>
        <w:pStyle w:val="Heading2"/>
        <w:spacing w:after="160" w:before="240"/>
      </w:pPr>
      <w:r>
        <w:rPr>
          <w:rFonts w:ascii="Arial" w:cs="Arial" w:eastAsia="Arial" w:hAnsi="Arial"/>
          <w:b/>
          <w:bCs/>
          <w:sz w:val="30"/>
          <w:szCs w:val="30"/>
        </w:rPr>
        <w:t xml:space="preserve">How to use this document</w:t>
      </w:r>
    </w:p>
    <w:p>
      <w:pPr>
        <w:spacing w:after="160" w:line="300"/>
      </w:pPr>
      <w:r>
        <w:rPr>
          <w:rFonts w:ascii="Arial" w:cs="Arial" w:eastAsia="Arial" w:hAnsi="Arial"/>
          <w:b w:val="false"/>
          <w:bCs w:val="false"/>
          <w:i w:val="false"/>
          <w:iCs w:val="false"/>
          <w:sz w:val="22"/>
          <w:szCs w:val="22"/>
        </w:rPr>
        <w:t xml:space="preserve">The document is organized in seven sections after this summary. Section 1 reproduces the four new Foundational Law chapters (FL.XIV through FL.XVII) in full. Section 2 reproduces the cross-reference additions to FL.III, FL.VI, and FL.VIII with anchor instructions for placement. Section 3 reproduces the Volume 1 Foundational Laws overview chapter replacement. Section 4 reproduces the Vol 5 Periodic Table chapter replacement in full. Section 5 indexes the markdown file bundle. Each section is also delivered as a standalone markdown file in the accompanying bundle; the markdown files are the direct-paste-ready content for the IJH mkdocs site, while this document is the consolidated review version.</w:t>
      </w:r>
    </w:p>
    <w:p>
      <w:r>
        <w:br w:type="page"/>
      </w:r>
    </w:p>
    <w:p>
      <w:pPr>
        <w:spacing w:after="720" w:before="1440"/>
        <w:jc w:val="center"/>
      </w:pPr>
      <w:r>
        <w:rPr>
          <w:rFonts w:ascii="Arial" w:cs="Arial" w:eastAsia="Arial" w:hAnsi="Arial"/>
          <w:b/>
          <w:bCs/>
          <w:sz w:val="40"/>
          <w:szCs w:val="40"/>
        </w:rPr>
        <w:t xml:space="preserve">Section 1 — Four New Foundational Law Chapters</w:t>
      </w:r>
    </w:p>
    <w:p>
      <w:pPr>
        <w:pBdr>
          <w:bottom w:val="single" w:color="333333" w:sz="12" w:space="1"/>
        </w:pBdr>
        <w:spacing w:after="480"/>
      </w:pPr>
      <w:r>
        <w:rPr>
          <w:rFonts w:ascii="Arial" w:cs="Arial" w:eastAsia="Arial" w:hAnsi="Arial"/>
          <w:sz w:val="22"/>
          <w:szCs w:val="22"/>
        </w:rPr>
        <w:t xml:space="preserve"/>
      </w:r>
    </w:p>
    <w:p>
      <w:pPr>
        <w:spacing w:after="240" w:line="300"/>
      </w:pPr>
      <w:r>
        <w:rPr>
          <w:rFonts w:ascii="Arial" w:cs="Arial" w:eastAsia="Arial" w:hAnsi="Arial"/>
          <w:sz w:val="22"/>
          <w:szCs w:val="22"/>
        </w:rPr>
        <w:t xml:space="preserve">The four chapters reproduced below are full new chapters for placement in Volume 1 of the IJH mkdocs site. Each follows the FL.VIII Desire-for-God template — Scriptural Ground, Mechanism, Why This Is a Foundational Law, the Proposed Law statement (bold), Mirror field (italic), and Certainty rationale (italic). Each chapter ends with a link forward to the next FL chapter, per the existing site convention. The four chapter files in the bundle are: foundational-law-xiv-the-vanity-of-substitutes-law.md, foundational-law-xv-the-hardening-law.md, foundational-law-xvi-the-bondage-law.md, and foundational-law-xvii-the-substitution-cascade-law.md.</w:t>
      </w:r>
    </w:p>
    <w:p>
      <w:r>
        <w:br w:type="page"/>
      </w:r>
    </w:p>
    <w:p>
      <w:pPr>
        <w:spacing w:after="240"/>
        <w:jc w:val="right"/>
      </w:pPr>
      <w:r>
        <w:rPr>
          <w:rFonts w:ascii="Arial" w:cs="Arial" w:eastAsia="Arial" w:hAnsi="Arial"/>
          <w:i/>
          <w:iCs/>
          <w:sz w:val="20"/>
          <w:szCs w:val="20"/>
        </w:rPr>
        <w:t xml:space="preserve">File: foundational-law-xiv-the-vanity-of-substitutes-law.md</w:t>
      </w:r>
    </w:p>
    <w:p>
      <w:pPr>
        <w:pStyle w:val="Heading1"/>
        <w:spacing w:after="240" w:before="360"/>
      </w:pPr>
      <w:r>
        <w:rPr>
          <w:rFonts w:ascii="Arial" w:cs="Arial" w:eastAsia="Arial" w:hAnsi="Arial"/>
          <w:b/>
          <w:bCs/>
          <w:sz w:val="36"/>
          <w:szCs w:val="36"/>
        </w:rPr>
        <w:t xml:space="preserve">Foundational Law XIV: The Vanity-of-Substitutes Law</w:t>
      </w:r>
    </w:p>
    <w:p>
      <w:pPr>
        <w:spacing w:after="160" w:line="300"/>
      </w:pPr>
      <w:r>
        <w:rPr>
          <w:rFonts w:ascii="Arial" w:cs="Arial" w:eastAsia="Arial" w:hAnsi="Arial"/>
          <w:b w:val="false"/>
          <w:bCs w:val="false"/>
          <w:i w:val="false"/>
          <w:iCs w:val="false"/>
          <w:sz w:val="22"/>
          <w:szCs w:val="22"/>
        </w:rPr>
        <w:t xml:space="preserve">The fourteenth foundational law is added to the catalog as the structural counterpart of FL.VIII Desire-for-God. FL.VIII names the engine — the longing for God built into the heart's design, the inward signal that the participant was made for communion with God in Christ. The Vanity-of-Substitutes Law names what happens to every other engine. The longing is sized for an infinite Object. Every sub-divine Object the heart attempts to fill the longing with is structurally undersized, and the failure to satisfy is therefore not contingent on which substitute is chosen, not remediable by intensifying the pursuit, and not surprised by a better substitute waiting to be found. The law operates as the inward signal of substitutional misdirection: the participant whose longing is being met by something genuine experiences satisfaction that deepens; the participant whose longing is being met by a substitute experiences a satisfaction that promises and does not deliver, and the gap between promise and delivery is the law operating.</w:t>
      </w:r>
    </w:p>
    <w:p>
      <w:pPr>
        <w:spacing w:after="160" w:line="300"/>
      </w:pPr>
      <w:r>
        <w:rPr>
          <w:rFonts w:ascii="Arial" w:cs="Arial" w:eastAsia="Arial" w:hAnsi="Arial"/>
          <w:b w:val="false"/>
          <w:bCs w:val="false"/>
          <w:i w:val="false"/>
          <w:iCs w:val="false"/>
          <w:sz w:val="22"/>
          <w:szCs w:val="22"/>
        </w:rPr>
        <w:t xml:space="preserve">This is the canonical idol-ward law in the catalog. Augustine named it in the opening of the Confessions — </w:t>
      </w:r>
      <w:r>
        <w:rPr>
          <w:rFonts w:ascii="Arial" w:cs="Arial" w:eastAsia="Arial" w:hAnsi="Arial"/>
          <w:b w:val="false"/>
          <w:bCs w:val="false"/>
          <w:i/>
          <w:iCs/>
          <w:sz w:val="22"/>
          <w:szCs w:val="22"/>
        </w:rPr>
        <w:t xml:space="preserve">fecisti nos ad te et inquietum est cor nostrum donec requiescat in te</w:t>
      </w:r>
      <w:r>
        <w:rPr>
          <w:rFonts w:ascii="Arial" w:cs="Arial" w:eastAsia="Arial" w:hAnsi="Arial"/>
          <w:b w:val="false"/>
          <w:bCs w:val="false"/>
          <w:i w:val="false"/>
          <w:iCs w:val="false"/>
          <w:sz w:val="22"/>
          <w:szCs w:val="22"/>
        </w:rPr>
        <w:t xml:space="preserve"> — and Pascal named it in the </w:t>
      </w:r>
      <w:r>
        <w:rPr>
          <w:rFonts w:ascii="Arial" w:cs="Arial" w:eastAsia="Arial" w:hAnsi="Arial"/>
          <w:b w:val="false"/>
          <w:bCs w:val="false"/>
          <w:i/>
          <w:iCs/>
          <w:sz w:val="22"/>
          <w:szCs w:val="22"/>
        </w:rPr>
        <w:t xml:space="preserve">Pensées</w:t>
      </w:r>
      <w:r>
        <w:rPr>
          <w:rFonts w:ascii="Arial" w:cs="Arial" w:eastAsia="Arial" w:hAnsi="Arial"/>
          <w:b w:val="false"/>
          <w:bCs w:val="false"/>
          <w:i w:val="false"/>
          <w:iCs w:val="false"/>
          <w:sz w:val="22"/>
          <w:szCs w:val="22"/>
        </w:rPr>
        <w:t xml:space="preserve"> as the God-shaped vacuum that all human attempts at filling fail to fill. Solomon's </w:t>
      </w:r>
      <w:r>
        <w:rPr>
          <w:rFonts w:ascii="Arial" w:cs="Arial" w:eastAsia="Arial" w:hAnsi="Arial"/>
          <w:b w:val="false"/>
          <w:bCs w:val="false"/>
          <w:i/>
          <w:iCs/>
          <w:sz w:val="22"/>
          <w:szCs w:val="22"/>
        </w:rPr>
        <w:t xml:space="preserve">Qoheleth</w:t>
      </w:r>
      <w:r>
        <w:rPr>
          <w:rFonts w:ascii="Arial" w:cs="Arial" w:eastAsia="Arial" w:hAnsi="Arial"/>
          <w:b w:val="false"/>
          <w:bCs w:val="false"/>
          <w:i w:val="false"/>
          <w:iCs w:val="false"/>
          <w:sz w:val="22"/>
          <w:szCs w:val="22"/>
        </w:rPr>
        <w:t xml:space="preserve"> catalogs the substitutes one by one and pronounces </w:t>
      </w:r>
      <w:r>
        <w:rPr>
          <w:rFonts w:ascii="Arial" w:cs="Arial" w:eastAsia="Arial" w:hAnsi="Arial"/>
          <w:b w:val="false"/>
          <w:bCs w:val="false"/>
          <w:i/>
          <w:iCs/>
          <w:sz w:val="22"/>
          <w:szCs w:val="22"/>
        </w:rPr>
        <w:t xml:space="preserve">hebel</w:t>
      </w:r>
      <w:r>
        <w:rPr>
          <w:rFonts w:ascii="Arial" w:cs="Arial" w:eastAsia="Arial" w:hAnsi="Arial"/>
          <w:b w:val="false"/>
          <w:bCs w:val="false"/>
          <w:i w:val="false"/>
          <w:iCs w:val="false"/>
          <w:sz w:val="22"/>
          <w:szCs w:val="22"/>
        </w:rPr>
        <w:t xml:space="preserve"> — vapor, breath, vanity — on each. Jeremiah names the structural mistake itself as the choosing of broken cisterns over the fountain of living water. Paul names the cascade by which one substitution produces the next. John names the water that does not satisfy compared to the water that becomes a spring rising to eternal life. Across these witnesses the same operational dynamic is named: the heart, made for the infinite, registers any finite Object as undersized, and the registering is structural rather than experiential — it is built into how the heart's design relates to its candidate Objects.</w:t>
      </w:r>
    </w:p>
    <w:p>
      <w:pPr>
        <w:pStyle w:val="Heading2"/>
        <w:spacing w:after="160" w:before="240"/>
      </w:pPr>
      <w:r>
        <w:rPr>
          <w:rFonts w:ascii="Arial" w:cs="Arial" w:eastAsia="Arial" w:hAnsi="Arial"/>
          <w:b/>
          <w:bCs/>
          <w:sz w:val="30"/>
          <w:szCs w:val="30"/>
        </w:rPr>
        <w:t xml:space="preserve">The Scriptural Ground</w:t>
      </w:r>
    </w:p>
    <w:p>
      <w:pPr>
        <w:spacing w:after="160" w:line="300"/>
      </w:pPr>
      <w:r>
        <w:rPr>
          <w:rFonts w:ascii="Arial" w:cs="Arial" w:eastAsia="Arial" w:hAnsi="Arial"/>
          <w:b w:val="false"/>
          <w:bCs w:val="false"/>
          <w:i w:val="false"/>
          <w:iCs w:val="false"/>
          <w:sz w:val="22"/>
          <w:szCs w:val="22"/>
        </w:rPr>
        <w:t xml:space="preserve">The structural failure of substitutional pursuit is named across both Testaments by at least four biblical authors, in registers that range from existential catalog to prophetic indictment to gospel offer.</w:t>
      </w:r>
    </w:p>
    <w:p>
      <w:pPr>
        <w:spacing w:after="160" w:line="300"/>
      </w:pPr>
      <w:r>
        <w:rPr>
          <w:rFonts w:ascii="Arial" w:cs="Arial" w:eastAsia="Arial" w:hAnsi="Arial"/>
          <w:b w:val="false"/>
          <w:bCs w:val="false"/>
          <w:i w:val="false"/>
          <w:iCs w:val="false"/>
          <w:sz w:val="22"/>
          <w:szCs w:val="22"/>
        </w:rPr>
        <w:t xml:space="preserve">Eccl. 1:2 (Qoheleth, ESV): "Vanity of vanities, says the Preacher, vanity of vanities! All is vanity." The opening of Ecclesiastes states the law's conclusion before the argument has been made. The Hebrew </w:t>
      </w:r>
      <w:r>
        <w:rPr>
          <w:rFonts w:ascii="Arial" w:cs="Arial" w:eastAsia="Arial" w:hAnsi="Arial"/>
          <w:b w:val="false"/>
          <w:bCs w:val="false"/>
          <w:i/>
          <w:iCs/>
          <w:sz w:val="22"/>
          <w:szCs w:val="22"/>
        </w:rPr>
        <w:t xml:space="preserve">hebel</w:t>
      </w:r>
      <w:r>
        <w:rPr>
          <w:rFonts w:ascii="Arial" w:cs="Arial" w:eastAsia="Arial" w:hAnsi="Arial"/>
          <w:b w:val="false"/>
          <w:bCs w:val="false"/>
          <w:i w:val="false"/>
          <w:iCs w:val="false"/>
          <w:sz w:val="22"/>
          <w:szCs w:val="22"/>
        </w:rPr>
        <w:t xml:space="preserve"> — translated "vanity" here but more literally "vapor" or "breath" — names the structural ephemerality of every substitute: it appears substantial, dissipates on inspection, and leaves the seeker holding nothing.</w:t>
      </w:r>
    </w:p>
    <w:p>
      <w:pPr>
        <w:spacing w:after="160" w:line="300"/>
      </w:pPr>
      <w:r>
        <w:rPr>
          <w:rFonts w:ascii="Arial" w:cs="Arial" w:eastAsia="Arial" w:hAnsi="Arial"/>
          <w:b w:val="false"/>
          <w:bCs w:val="false"/>
          <w:i w:val="false"/>
          <w:iCs w:val="false"/>
          <w:sz w:val="22"/>
          <w:szCs w:val="22"/>
        </w:rPr>
        <w:t xml:space="preserve">Eccl. 2:1–11 (Qoheleth, ESV) catalogs the substitutes by category and pronounces the same verdict on each. Pleasure ("I will test you with pleasure; enjoy yourself") — vanity. Wine. Great works — houses, vineyards, gardens, parks, pools. Slaves and possessions. Silver and gold. Singers and concubines. The catalog is exhaustive on purpose: the Preacher is not testing one substitute and finding it wanting; he is testing the category. "Then I considered all that my hands had done and the toil I had expended in doing it, and behold, all was vanity and a striving after wind, and there was nothing to be gained under the sun" (2:11). The structural claim is in the word </w:t>
      </w:r>
      <w:r>
        <w:rPr>
          <w:rFonts w:ascii="Arial" w:cs="Arial" w:eastAsia="Arial" w:hAnsi="Arial"/>
          <w:b w:val="false"/>
          <w:bCs w:val="false"/>
          <w:i/>
          <w:iCs/>
          <w:sz w:val="22"/>
          <w:szCs w:val="22"/>
        </w:rPr>
        <w:t xml:space="preserve">all</w:t>
      </w:r>
      <w:r>
        <w:rPr>
          <w:rFonts w:ascii="Arial" w:cs="Arial" w:eastAsia="Arial" w:hAnsi="Arial"/>
          <w:b w:val="false"/>
          <w:bCs w:val="false"/>
          <w:i w:val="false"/>
          <w:iCs w:val="false"/>
          <w:sz w:val="22"/>
          <w:szCs w:val="22"/>
        </w:rPr>
        <w:t xml:space="preserve">. The category fails as a category, not the items as items.</w:t>
      </w:r>
    </w:p>
    <w:p>
      <w:pPr>
        <w:spacing w:after="160" w:line="300"/>
      </w:pPr>
      <w:r>
        <w:rPr>
          <w:rFonts w:ascii="Arial" w:cs="Arial" w:eastAsia="Arial" w:hAnsi="Arial"/>
          <w:b w:val="false"/>
          <w:bCs w:val="false"/>
          <w:i w:val="false"/>
          <w:iCs w:val="false"/>
          <w:sz w:val="22"/>
          <w:szCs w:val="22"/>
        </w:rPr>
        <w:t xml:space="preserve">Jer. 2:13 (ESV): "For my people have committed two evils: they have forsaken me, the fountain of living waters, and hewed out cisterns for themselves, broken cisterns that can hold no water." Jeremiah names the structural mistake with metallurgical precision. The cisterns are broken at the level of their making — they cannot hold water at all, not merely some water or imperfect water. The mistake is in choosing the made for the Maker, and the law of the cistern is that the made-thing was never designed to hold what the heart was made to drink.</w:t>
      </w:r>
    </w:p>
    <w:p>
      <w:pPr>
        <w:spacing w:after="160" w:line="300"/>
      </w:pPr>
      <w:r>
        <w:rPr>
          <w:rFonts w:ascii="Arial" w:cs="Arial" w:eastAsia="Arial" w:hAnsi="Arial"/>
          <w:b w:val="false"/>
          <w:bCs w:val="false"/>
          <w:i w:val="false"/>
          <w:iCs w:val="false"/>
          <w:sz w:val="22"/>
          <w:szCs w:val="22"/>
        </w:rPr>
        <w:t xml:space="preserve">Rom. 1:21–25 (Paul, ESV): "For although they knew God, they did not honor him as God or give thanks to him, but they became futile in their thinking, and their foolish hearts were darkened… they exchanged the glory of the immortal God for images resembling mortal man and birds and animals and creeping things… they exchanged the truth about God for a lie and worshiped and served the creature rather than the Creator." Paul names the exchange — the </w:t>
      </w:r>
      <w:r>
        <w:rPr>
          <w:rFonts w:ascii="Arial" w:cs="Arial" w:eastAsia="Arial" w:hAnsi="Arial"/>
          <w:b w:val="false"/>
          <w:bCs w:val="false"/>
          <w:i/>
          <w:iCs/>
          <w:sz w:val="22"/>
          <w:szCs w:val="22"/>
        </w:rPr>
        <w:t xml:space="preserve">technical term</w:t>
      </w:r>
      <w:r>
        <w:rPr>
          <w:rFonts w:ascii="Arial" w:cs="Arial" w:eastAsia="Arial" w:hAnsi="Arial"/>
          <w:b w:val="false"/>
          <w:bCs w:val="false"/>
          <w:i w:val="false"/>
          <w:iCs w:val="false"/>
          <w:sz w:val="22"/>
          <w:szCs w:val="22"/>
        </w:rPr>
        <w:t xml:space="preserve"> of the substitutional dynamic. The exchange is asymmetric: the immortal for the mortal, the Creator for the creature, the truth for the lie. The cascade that follows in 1:24–32 is the operational consequence: substitutional worship generates substitutional everything, with each level of exchange compounding the failure of the previous.</w:t>
      </w:r>
    </w:p>
    <w:p>
      <w:pPr>
        <w:spacing w:after="160" w:line="300"/>
      </w:pPr>
      <w:r>
        <w:rPr>
          <w:rFonts w:ascii="Arial" w:cs="Arial" w:eastAsia="Arial" w:hAnsi="Arial"/>
          <w:b w:val="false"/>
          <w:bCs w:val="false"/>
          <w:i w:val="false"/>
          <w:iCs w:val="false"/>
          <w:sz w:val="22"/>
          <w:szCs w:val="22"/>
        </w:rPr>
        <w:t xml:space="preserve">John 4:13–14 (Jesus, ESV): "Everyone who drinks of this water will be thirsty again, but whoever drinks of the water that I will give him will never be thirsty again. The water that I will give him will become in him a spring of water welling up to eternal life." The Samaritan-woman dialogue at the well names both poles in two sentences. The water of substitutes does not satisfy because its satisfaction does not persist — the thirst returns. The water of the One who is Himself the answer to the thirst becomes a spring inside the participant, rising rather than draining. The diagnostic is in the temporal pattern: the substitute satisfies-then-returns-thirst; the genuine satisfies-and-deepens-into-spring.</w:t>
      </w:r>
    </w:p>
    <w:p>
      <w:pPr>
        <w:spacing w:after="160" w:line="300"/>
      </w:pPr>
      <w:r>
        <w:rPr>
          <w:rFonts w:ascii="Arial" w:cs="Arial" w:eastAsia="Arial" w:hAnsi="Arial"/>
          <w:b w:val="false"/>
          <w:bCs w:val="false"/>
          <w:i w:val="false"/>
          <w:iCs w:val="false"/>
          <w:sz w:val="22"/>
          <w:szCs w:val="22"/>
        </w:rPr>
        <w:t xml:space="preserve">Phil. 3:7–8 (Paul, ESV): "But whatever gain I had, I counted as loss for the sake of Christ. Indeed, I count everything as loss because of the surpassing worth of knowing Christ Jesus my Lord, for whose sake I have suffered the loss of all things and count them as rubbish, in order that I may gain Christ." Paul testifies to the law from the other side — the reorientation that names the substitutes as substitutes. The pivot is the comparison of magnitudes: once Christ is known, every former gain registers as loss, because the magnitude of the One has rendered the magnitudes of the others visibly insufficient.</w:t>
      </w:r>
    </w:p>
    <w:p>
      <w:pPr>
        <w:spacing w:after="160" w:line="300"/>
      </w:pPr>
      <w:r>
        <w:rPr>
          <w:rFonts w:ascii="Arial" w:cs="Arial" w:eastAsia="Arial" w:hAnsi="Arial"/>
          <w:b w:val="false"/>
          <w:bCs w:val="false"/>
          <w:i w:val="false"/>
          <w:iCs w:val="false"/>
          <w:sz w:val="22"/>
          <w:szCs w:val="22"/>
        </w:rPr>
        <w:t xml:space="preserve">Isa. 55:1–2 (Isaiah, ESV): "Come, everyone who thirsts, come to the waters; and he who has no money, come, buy and eat!… Why do you spend your money for that which is not bread, and your labor for that which does not satisfy?" The prophetic invitation names the substitutional pattern as a spending — money and labor expended on what is not bread, work toward what does not satisfy. The diagnostic question — </w:t>
      </w:r>
      <w:r>
        <w:rPr>
          <w:rFonts w:ascii="Arial" w:cs="Arial" w:eastAsia="Arial" w:hAnsi="Arial"/>
          <w:b w:val="false"/>
          <w:bCs w:val="false"/>
          <w:i/>
          <w:iCs/>
          <w:sz w:val="22"/>
          <w:szCs w:val="22"/>
        </w:rPr>
        <w:t xml:space="preserve">why</w:t>
      </w:r>
      <w:r>
        <w:rPr>
          <w:rFonts w:ascii="Arial" w:cs="Arial" w:eastAsia="Arial" w:hAnsi="Arial"/>
          <w:b w:val="false"/>
          <w:bCs w:val="false"/>
          <w:i w:val="false"/>
          <w:iCs w:val="false"/>
          <w:sz w:val="22"/>
          <w:szCs w:val="22"/>
        </w:rPr>
        <w:t xml:space="preserve"> do you spend on what does not satisfy — assumes the answer the law gives: because the substitutional pattern is not first a moral failure but a structural mis-aim.</w:t>
      </w:r>
    </w:p>
    <w:p>
      <w:pPr>
        <w:pStyle w:val="Heading2"/>
        <w:spacing w:after="160" w:before="240"/>
      </w:pPr>
      <w:r>
        <w:rPr>
          <w:rFonts w:ascii="Arial" w:cs="Arial" w:eastAsia="Arial" w:hAnsi="Arial"/>
          <w:b/>
          <w:bCs/>
          <w:sz w:val="30"/>
          <w:szCs w:val="30"/>
        </w:rPr>
        <w:t xml:space="preserve">The Mechanism</w:t>
      </w:r>
    </w:p>
    <w:p>
      <w:pPr>
        <w:spacing w:after="160" w:line="300"/>
      </w:pPr>
      <w:r>
        <w:rPr>
          <w:rFonts w:ascii="Arial" w:cs="Arial" w:eastAsia="Arial" w:hAnsi="Arial"/>
          <w:b w:val="false"/>
          <w:bCs w:val="false"/>
          <w:i w:val="false"/>
          <w:iCs w:val="false"/>
          <w:sz w:val="22"/>
          <w:szCs w:val="22"/>
        </w:rPr>
        <w:t xml:space="preserve">Three features of how the law operates.</w:t>
      </w:r>
    </w:p>
    <w:p>
      <w:pPr>
        <w:spacing w:after="160" w:line="300"/>
      </w:pPr>
      <w:r>
        <w:rPr>
          <w:rFonts w:ascii="Arial" w:cs="Arial" w:eastAsia="Arial" w:hAnsi="Arial"/>
          <w:b w:val="false"/>
          <w:bCs w:val="false"/>
          <w:i w:val="false"/>
          <w:iCs w:val="false"/>
          <w:sz w:val="22"/>
          <w:szCs w:val="22"/>
        </w:rPr>
        <w:t xml:space="preserve">First, the failure is structural rather than experiential. The substitute does not fail because the participant lacked the skill to use it, the patience to wait for its full satisfaction, or the resources to obtain enough of it. The failure is in the magnitude mismatch between the heart's longing and the substitute's capacity. A finite Object cannot satisfy a longing sized for the infinite, and intensifying the pursuit — more of the substitute, better quality of the substitute, more skillful use of the substitute — does not change the magnitude. The Preacher's catalog in Eccl. 2 is the empirical demonstration: maximal resources, maximal pursuit, maximal range of substitutes, identical verdict.</w:t>
      </w:r>
    </w:p>
    <w:p>
      <w:pPr>
        <w:spacing w:after="160" w:line="300"/>
      </w:pPr>
      <w:r>
        <w:rPr>
          <w:rFonts w:ascii="Arial" w:cs="Arial" w:eastAsia="Arial" w:hAnsi="Arial"/>
          <w:b w:val="false"/>
          <w:bCs w:val="false"/>
          <w:i w:val="false"/>
          <w:iCs w:val="false"/>
          <w:sz w:val="22"/>
          <w:szCs w:val="22"/>
        </w:rPr>
        <w:t xml:space="preserve">Second, the failure recruits further substitution rather than reorientation. When a substitute fails to satisfy, the natural response of the heart that has not yet seen the structural nature of the failure is to seek a better substitute — more, different, more skillfully pursued. Romans 1:21–25 names this as the </w:t>
      </w:r>
      <w:r>
        <w:rPr>
          <w:rFonts w:ascii="Arial" w:cs="Arial" w:eastAsia="Arial" w:hAnsi="Arial"/>
          <w:b w:val="false"/>
          <w:bCs w:val="false"/>
          <w:i/>
          <w:iCs/>
          <w:sz w:val="22"/>
          <w:szCs w:val="22"/>
        </w:rPr>
        <w:t xml:space="preserve">exchange cascade</w:t>
      </w:r>
      <w:r>
        <w:rPr>
          <w:rFonts w:ascii="Arial" w:cs="Arial" w:eastAsia="Arial" w:hAnsi="Arial"/>
          <w:b w:val="false"/>
          <w:bCs w:val="false"/>
          <w:i w:val="false"/>
          <w:iCs w:val="false"/>
          <w:sz w:val="22"/>
          <w:szCs w:val="22"/>
        </w:rPr>
        <w:t xml:space="preserve">: one exchange produces another, the next exchange produces another after it, and the trajectory across the cascade is a progressive distancing from the original Object the longing was for. The mechanism is recursive: the substitute's failure does not naturally produce the discovery of God; it naturally produces the pursuit of the next substitute. Reorientation toward God requires either revelation (the Holy Spirit's specific work of unveiling the true Object), or sustained suffering of the cascade until its structural nature becomes visible to the participant, or both.</w:t>
      </w:r>
    </w:p>
    <w:p>
      <w:pPr>
        <w:spacing w:after="160" w:line="300"/>
      </w:pPr>
      <w:r>
        <w:rPr>
          <w:rFonts w:ascii="Arial" w:cs="Arial" w:eastAsia="Arial" w:hAnsi="Arial"/>
          <w:b w:val="false"/>
          <w:bCs w:val="false"/>
          <w:i w:val="false"/>
          <w:iCs w:val="false"/>
          <w:sz w:val="22"/>
          <w:szCs w:val="22"/>
        </w:rPr>
        <w:t xml:space="preserve">Third, the failure leaves an inward signature that is itself diagnostic. The longing met by a genuine Object deepens — Phil. 3:14's pressing-on is the operational form, the saint's testimony across centuries is the data. The longing met by a substitute is briefly quieted and then returns at the same magnitude or greater. John 4:13–14 names this as "will be thirsty again," with the temporal pattern as the operational marker. A participant who attends to her own inward signal can read the diagnostic: the satisfaction that deepens names a Genuine Object; the satisfaction that requires re-pursuit names a substitute, and the recognition that the substitute is a substitute is itself the first move toward reorientation.</w:t>
      </w:r>
    </w:p>
    <w:p>
      <w:pPr>
        <w:pStyle w:val="Heading2"/>
        <w:spacing w:after="160" w:before="240"/>
      </w:pPr>
      <w:r>
        <w:rPr>
          <w:rFonts w:ascii="Arial" w:cs="Arial" w:eastAsia="Arial" w:hAnsi="Arial"/>
          <w:b/>
          <w:bCs/>
          <w:sz w:val="30"/>
          <w:szCs w:val="30"/>
        </w:rPr>
        <w:t xml:space="preserve">Why This Is a Foundational Law</w:t>
      </w:r>
    </w:p>
    <w:p>
      <w:pPr>
        <w:spacing w:after="160" w:line="300"/>
      </w:pPr>
      <w:r>
        <w:rPr>
          <w:rFonts w:ascii="Arial" w:cs="Arial" w:eastAsia="Arial" w:hAnsi="Arial"/>
          <w:b w:val="false"/>
          <w:bCs w:val="false"/>
          <w:i w:val="false"/>
          <w:iCs w:val="false"/>
          <w:sz w:val="22"/>
          <w:szCs w:val="22"/>
        </w:rPr>
        <w:t xml:space="preserve">Multi-author scriptural support is strong. The witnesses span four biblical authors — Solomon (Ecclesiastes), Jeremiah, Paul (Romans, Philippians), and John (Gospel, with corroboration from Isaiah's prophetic register) — across both Testaments and the registers of wisdom literature, prophecy, gospel narrative, and epistle. The directional structure is uncontested across mainstream Christian traditions: the heart was made for God; substitutional attempts to fill the longing with anything else fail structurally; the failure is not contingent on the quality of the substitute. Augustine's </w:t>
      </w:r>
      <w:r>
        <w:rPr>
          <w:rFonts w:ascii="Arial" w:cs="Arial" w:eastAsia="Arial" w:hAnsi="Arial"/>
          <w:b w:val="false"/>
          <w:bCs w:val="false"/>
          <w:i/>
          <w:iCs/>
          <w:sz w:val="22"/>
          <w:szCs w:val="22"/>
        </w:rPr>
        <w:t xml:space="preserve">Confessions</w:t>
      </w:r>
      <w:r>
        <w:rPr>
          <w:rFonts w:ascii="Arial" w:cs="Arial" w:eastAsia="Arial" w:hAnsi="Arial"/>
          <w:b w:val="false"/>
          <w:bCs w:val="false"/>
          <w:i w:val="false"/>
          <w:iCs w:val="false"/>
          <w:sz w:val="22"/>
          <w:szCs w:val="22"/>
        </w:rPr>
        <w:t xml:space="preserve"> I.1 is the Western touchstone; Pascal's </w:t>
      </w:r>
      <w:r>
        <w:rPr>
          <w:rFonts w:ascii="Arial" w:cs="Arial" w:eastAsia="Arial" w:hAnsi="Arial"/>
          <w:b w:val="false"/>
          <w:bCs w:val="false"/>
          <w:i/>
          <w:iCs/>
          <w:sz w:val="22"/>
          <w:szCs w:val="22"/>
        </w:rPr>
        <w:t xml:space="preserve">Pensées</w:t>
      </w:r>
      <w:r>
        <w:rPr>
          <w:rFonts w:ascii="Arial" w:cs="Arial" w:eastAsia="Arial" w:hAnsi="Arial"/>
          <w:b w:val="false"/>
          <w:bCs w:val="false"/>
          <w:i w:val="false"/>
          <w:iCs w:val="false"/>
          <w:sz w:val="22"/>
          <w:szCs w:val="22"/>
        </w:rPr>
        <w:t xml:space="preserve"> names the God-shaped vacuum in the modern register; the contemplative tradition across centuries names the dynamic as the engine of </w:t>
      </w:r>
      <w:r>
        <w:rPr>
          <w:rFonts w:ascii="Arial" w:cs="Arial" w:eastAsia="Arial" w:hAnsi="Arial"/>
          <w:b w:val="false"/>
          <w:bCs w:val="false"/>
          <w:i/>
          <w:iCs/>
          <w:sz w:val="22"/>
          <w:szCs w:val="22"/>
        </w:rPr>
        <w:t xml:space="preserve">acedia</w:t>
      </w:r>
      <w:r>
        <w:rPr>
          <w:rFonts w:ascii="Arial" w:cs="Arial" w:eastAsia="Arial" w:hAnsi="Arial"/>
          <w:b w:val="false"/>
          <w:bCs w:val="false"/>
          <w:i w:val="false"/>
          <w:iCs w:val="false"/>
          <w:sz w:val="22"/>
          <w:szCs w:val="22"/>
        </w:rPr>
        <w:t xml:space="preserve">'s recognition and reorientation; the Reformed tradition names it under the </w:t>
      </w:r>
      <w:r>
        <w:rPr>
          <w:rFonts w:ascii="Arial" w:cs="Arial" w:eastAsia="Arial" w:hAnsi="Arial"/>
          <w:b w:val="false"/>
          <w:bCs w:val="false"/>
          <w:i/>
          <w:iCs/>
          <w:sz w:val="22"/>
          <w:szCs w:val="22"/>
        </w:rPr>
        <w:t xml:space="preserve">cor incurvatum in se</w:t>
      </w:r>
      <w:r>
        <w:rPr>
          <w:rFonts w:ascii="Arial" w:cs="Arial" w:eastAsia="Arial" w:hAnsi="Arial"/>
          <w:b w:val="false"/>
          <w:bCs w:val="false"/>
          <w:i w:val="false"/>
          <w:iCs w:val="false"/>
          <w:sz w:val="22"/>
          <w:szCs w:val="22"/>
        </w:rPr>
        <w:t xml:space="preserve"> and idolatry of the heart; the Wesleyan tradition names it under the inadequacy of every substitute for sanctifying grace; the Orthodox tradition under the asymmetry between the soul's </w:t>
      </w:r>
      <w:r>
        <w:rPr>
          <w:rFonts w:ascii="Arial" w:cs="Arial" w:eastAsia="Arial" w:hAnsi="Arial"/>
          <w:b w:val="false"/>
          <w:bCs w:val="false"/>
          <w:i/>
          <w:iCs/>
          <w:sz w:val="22"/>
          <w:szCs w:val="22"/>
        </w:rPr>
        <w:t xml:space="preserve">eros</w:t>
      </w:r>
      <w:r>
        <w:rPr>
          <w:rFonts w:ascii="Arial" w:cs="Arial" w:eastAsia="Arial" w:hAnsi="Arial"/>
          <w:b w:val="false"/>
          <w:bCs w:val="false"/>
          <w:i w:val="false"/>
          <w:iCs w:val="false"/>
          <w:sz w:val="22"/>
          <w:szCs w:val="22"/>
        </w:rPr>
        <w:t xml:space="preserve"> for God and every counterfeit object of that </w:t>
      </w:r>
      <w:r>
        <w:rPr>
          <w:rFonts w:ascii="Arial" w:cs="Arial" w:eastAsia="Arial" w:hAnsi="Arial"/>
          <w:b w:val="false"/>
          <w:bCs w:val="false"/>
          <w:i/>
          <w:iCs/>
          <w:sz w:val="22"/>
          <w:szCs w:val="22"/>
        </w:rPr>
        <w:t xml:space="preserve">eros</w:t>
      </w:r>
      <w:r>
        <w:rPr>
          <w:rFonts w:ascii="Arial" w:cs="Arial" w:eastAsia="Arial" w:hAnsi="Arial"/>
          <w:b w:val="false"/>
          <w:bCs w:val="false"/>
          <w:i w:val="false"/>
          <w:iCs w:val="false"/>
          <w:sz w:val="22"/>
          <w:szCs w:val="22"/>
        </w:rPr>
        <w:t xml:space="preserve">. No mainstream tradition holds that substitutional pursuit can succeed.</w:t>
      </w:r>
    </w:p>
    <w:p>
      <w:pPr>
        <w:spacing w:after="160" w:line="300"/>
      </w:pPr>
      <w:r>
        <w:rPr>
          <w:rFonts w:ascii="Arial" w:cs="Arial" w:eastAsia="Arial" w:hAnsi="Arial"/>
          <w:b w:val="false"/>
          <w:bCs w:val="false"/>
          <w:i w:val="false"/>
          <w:iCs w:val="false"/>
          <w:sz w:val="22"/>
          <w:szCs w:val="22"/>
        </w:rPr>
        <w:t xml:space="preserve">Testability in the natural is exceptional. Companions know empirically that the participant whose longing is being met by a genuine encounter with God experiences a deepening satisfaction; the participant pursuing a substitute experiences a satisfaction that promises and does not deliver. The diagnostic operates without theological vocabulary — a secular participant whose longing has been substituted onto career, achievement, or sexual conquest can name the gap between promise and delivery if asked, even without naming the Object the longing was for in the first place. The operational claim is therefore visible at multiple levels of conscious theological commitment.</w:t>
      </w:r>
    </w:p>
    <w:p>
      <w:pPr>
        <w:spacing w:after="160" w:line="300"/>
      </w:pPr>
      <w:r>
        <w:rPr>
          <w:rFonts w:ascii="Arial" w:cs="Arial" w:eastAsia="Arial" w:hAnsi="Arial"/>
          <w:b w:val="false"/>
          <w:bCs w:val="false"/>
          <w:i w:val="false"/>
          <w:iCs w:val="false"/>
          <w:sz w:val="22"/>
          <w:szCs w:val="22"/>
        </w:rPr>
        <w:t xml:space="preserve">The law belongs in the catalog for a specific structural reason. FL.VIII Desire-for-God names the engine. Without the Vanity-of-Substitutes Law, the corpus has named what the heart was made to want without naming what happens when the heart attempts to want something else. This gap is precisely what the early-modern theological literature (Pascal, Edwards, later Lewis) was responding to when it named the inadequacy of substitutional pursuit as a structural feature rather than a moralistic complaint. The Vanity-of-Substitutes Law closes the gap. The law pairs with FL.VIII as its structural counterpart — engine and structural-failure-of-alternative-engines — and with FL.III Heart-Throne as the operational mechanism by which the substitute occupies the heart's central place. With FL.III and FL.VIII together, the Vanity-of-Substitutes Law completes the orientation-of-pursuit triad in the Heart column: the heart was made for God (FL.VIII), enthrones a Object as functional savior (FL.III), and discovers structurally that every Object other than the One it was made for fails to satisfy (FL.XIV).</w:t>
      </w:r>
    </w:p>
    <w:p>
      <w:pPr>
        <w:spacing w:after="160" w:line="300"/>
      </w:pPr>
      <w:r>
        <w:rPr>
          <w:rFonts w:ascii="Arial" w:cs="Arial" w:eastAsia="Arial" w:hAnsi="Arial"/>
          <w:b/>
          <w:bCs/>
          <w:i w:val="false"/>
          <w:iCs w:val="false"/>
          <w:sz w:val="22"/>
          <w:szCs w:val="22"/>
        </w:rPr>
        <w:t xml:space="preserve">Proposed Law (Operational Law of Wide Consent): Every substitutional attempt to fill the FL.VIII Desire-for-God longing with an Object other than God fails to produce the satisfaction it promises, and the failure is structural to the substitutional attempt — not contingent on which substitute is chosen (Eccl. 2:1–11), not remediable by intensifying the pursuit (Eccl. 2:11 "and there was nothing to be gained under the sun"), and not surprised by a better substitute waiting to be found. The substitute satisfies briefly and the thirst returns (John 4:13); the genuine Object satisfies and deepens (John 4:14; Phil. 3:14). The failure of one substitute naturally recruits the pursuit of the next (Rom. 1:21–25 exchange cascade) rather than naturally producing reorientation toward the original Object; reorientation toward God requires revelation, sustained recognition of the cascade's structural nature, or both. The inward signature of substitutional pursuit — satisfaction that promises and does not deliver — is itself the law's diagnostic signal to the participant. Operates at the vertical scale (tag V), with horizontal expression in the relational substitutes (treating creatures as that-which-satisfies-the-Creator-longing). Pairs with FL.VIII Desire-for-God as its structural counterpart and with FL.III Heart-Throne as the operational mechanism by which a specific substitute occupies the heart's central place.</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Vanity-of-Substitutes Law has no Mirror in the orientation-of-pursuit sense, because the law is itself the idol-ward face of FL.VIII Desire-for-God. The God-ward face is FL.VIII; the Vanity-of-Substitutes Law is the operational consequence of the same architecture turned toward any other Object. The two laws together constitute the bidirectional treatment of the Heart-column orientation dimension at P1.</w:t>
      </w:r>
    </w:p>
    <w:p>
      <w:pPr>
        <w:spacing w:after="160" w:line="300"/>
      </w:pPr>
      <w:r>
        <w:rPr>
          <w:rFonts w:ascii="Arial" w:cs="Arial" w:eastAsia="Arial" w:hAnsi="Arial"/>
          <w:b/>
          <w:bCs/>
          <w:i/>
          <w:iCs/>
          <w:sz w:val="22"/>
          <w:szCs w:val="22"/>
        </w:rPr>
        <w:t xml:space="preserve">Certainty: Clearly Taught.</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Multi-author scriptural support is strong (four biblical authors across both Testaments, multiple genres). Broad acceptance is uncontested across mainstream Christian traditions, with theological differences in how the failure is theologized (Reformed: cor incurvatum and idolatry; Catholic: disordered loves and the supernatural end; Wesleyan: inadequacy of natural goods for sanctifying grace; Orthodox: misdirection of eros) without affecting the law's operational content. Observable testability is exceptional and operates at multiple levels of conscious theological commitment.</w:t>
      </w:r>
    </w:p>
    <w:p>
      <w:pPr>
        <w:spacing w:after="160" w:line="300"/>
      </w:pPr>
      <w:r>
        <w:rPr>
          <w:rFonts w:ascii="Arial" w:cs="Arial" w:eastAsia="Arial" w:hAnsi="Arial"/>
          <w:b/>
          <w:bCs/>
          <w:i w:val="false"/>
          <w:iCs w:val="false"/>
          <w:sz w:val="22"/>
          <w:szCs w:val="22"/>
        </w:rPr>
        <w:t xml:space="preserve">Foundational Law XV — Operational Law of Wide Consent</w:t>
      </w:r>
    </w:p>
    <w:p>
      <w:r>
        <w:br w:type="page"/>
      </w:r>
    </w:p>
    <w:p>
      <w:pPr>
        <w:spacing w:after="240"/>
        <w:jc w:val="right"/>
      </w:pPr>
      <w:r>
        <w:rPr>
          <w:rFonts w:ascii="Arial" w:cs="Arial" w:eastAsia="Arial" w:hAnsi="Arial"/>
          <w:i/>
          <w:iCs/>
          <w:sz w:val="20"/>
          <w:szCs w:val="20"/>
        </w:rPr>
        <w:t xml:space="preserve">File: foundational-law-xv-the-hardening-law.md</w:t>
      </w:r>
    </w:p>
    <w:p>
      <w:pPr>
        <w:pStyle w:val="Heading1"/>
        <w:spacing w:after="240" w:before="360"/>
      </w:pPr>
      <w:r>
        <w:rPr>
          <w:rFonts w:ascii="Arial" w:cs="Arial" w:eastAsia="Arial" w:hAnsi="Arial"/>
          <w:b/>
          <w:bCs/>
          <w:sz w:val="36"/>
          <w:szCs w:val="36"/>
        </w:rPr>
        <w:t xml:space="preserve">Foundational Law XV: The Hardening Law</w:t>
      </w:r>
    </w:p>
    <w:p>
      <w:pPr>
        <w:spacing w:after="160" w:line="300"/>
      </w:pPr>
      <w:r>
        <w:rPr>
          <w:rFonts w:ascii="Arial" w:cs="Arial" w:eastAsia="Arial" w:hAnsi="Arial"/>
          <w:b w:val="false"/>
          <w:bCs w:val="false"/>
          <w:i w:val="false"/>
          <w:iCs w:val="false"/>
          <w:sz w:val="22"/>
          <w:szCs w:val="22"/>
        </w:rPr>
        <w:t xml:space="preserve">The fifteenth foundational law names a dynamic the corpus has held implicitly through V1.Exp6 Obedience Channel and its Mirror, but that operates more widely than the channel-load metaphor of Exp6 captures and that scripture treats as a structural reality with sustained cross-author attestation. Sustained refusal of God-ward orientation progressively reduces the heart's responsiveness to truth, eventually closing the channel; the closure is incremental and cumulative, and reaches a point past which external intervention is required because the internal capacity to receive has been impaired. The dynamic is named in scripture as </w:t>
      </w:r>
      <w:r>
        <w:rPr>
          <w:rFonts w:ascii="Arial" w:cs="Arial" w:eastAsia="Arial" w:hAnsi="Arial"/>
          <w:b w:val="false"/>
          <w:bCs w:val="false"/>
          <w:i/>
          <w:iCs/>
          <w:sz w:val="22"/>
          <w:szCs w:val="22"/>
        </w:rPr>
        <w:t xml:space="preserve">hardening</w:t>
      </w:r>
      <w:r>
        <w:rPr>
          <w:rFonts w:ascii="Arial" w:cs="Arial" w:eastAsia="Arial" w:hAnsi="Arial"/>
          <w:b w:val="false"/>
          <w:bCs w:val="false"/>
          <w:i w:val="false"/>
          <w:iCs w:val="false"/>
          <w:sz w:val="22"/>
          <w:szCs w:val="22"/>
        </w:rPr>
        <w:t xml:space="preserve">. It is the canonical idol-ward law in the channel-and-responsiveness register, and it operates at the individual scale, the community scale, and the generational scale. The scale-invariance of its operation places it at Period 0 in the table.</w:t>
      </w:r>
    </w:p>
    <w:p>
      <w:pPr>
        <w:spacing w:after="160" w:line="300"/>
      </w:pPr>
      <w:r>
        <w:rPr>
          <w:rFonts w:ascii="Arial" w:cs="Arial" w:eastAsia="Arial" w:hAnsi="Arial"/>
          <w:b w:val="false"/>
          <w:bCs w:val="false"/>
          <w:i w:val="false"/>
          <w:iCs w:val="false"/>
          <w:sz w:val="22"/>
          <w:szCs w:val="22"/>
        </w:rPr>
        <w:t xml:space="preserve">The Hardening Law is one of the more theologically charged laws in the catalog because the divine-side and human-side agency in the hardening dynamic have been theologized differently across mainstream Christian traditions. The Reformed tradition has emphasized the divine side of the dynamic, reading the Romans 1 "God gave them up" sequence and the Exodus account of Pharaoh's hardening as the divine action that the human refusal opens onto. The Wesleyan-Arminian tradition has emphasized the human side, reading the same texts as describing the natural consequences of sustained refusal that God permits and ratifies but does not properly cause. The Catholic tradition has held both sides in tension under the language of </w:t>
      </w:r>
      <w:r>
        <w:rPr>
          <w:rFonts w:ascii="Arial" w:cs="Arial" w:eastAsia="Arial" w:hAnsi="Arial"/>
          <w:b w:val="false"/>
          <w:bCs w:val="false"/>
          <w:i/>
          <w:iCs/>
          <w:sz w:val="22"/>
          <w:szCs w:val="22"/>
        </w:rPr>
        <w:t xml:space="preserve">obduratio</w:t>
      </w:r>
      <w:r>
        <w:rPr>
          <w:rFonts w:ascii="Arial" w:cs="Arial" w:eastAsia="Arial" w:hAnsi="Arial"/>
          <w:b w:val="false"/>
          <w:bCs w:val="false"/>
          <w:i w:val="false"/>
          <w:iCs w:val="false"/>
          <w:sz w:val="22"/>
          <w:szCs w:val="22"/>
        </w:rPr>
        <w:t xml:space="preserve"> and the loss of habitual grace. The Orthodox tradition under the </w:t>
      </w:r>
      <w:r>
        <w:rPr>
          <w:rFonts w:ascii="Arial" w:cs="Arial" w:eastAsia="Arial" w:hAnsi="Arial"/>
          <w:b w:val="false"/>
          <w:bCs w:val="false"/>
          <w:i/>
          <w:iCs/>
          <w:sz w:val="22"/>
          <w:szCs w:val="22"/>
        </w:rPr>
        <w:t xml:space="preserve">gnomic will</w:t>
      </w:r>
      <w:r>
        <w:rPr>
          <w:rFonts w:ascii="Arial" w:cs="Arial" w:eastAsia="Arial" w:hAnsi="Arial"/>
          <w:b w:val="false"/>
          <w:bCs w:val="false"/>
          <w:i w:val="false"/>
          <w:iCs w:val="false"/>
          <w:sz w:val="22"/>
          <w:szCs w:val="22"/>
        </w:rPr>
        <w:t xml:space="preserve">'s settling against the natural will's God-directedness. The differences are real and worth naming, but the operational dynamic itself — that sustained refusal hardens, that the hardening is cumulative, that the dynamic is time-sensitive — is held in common by all mainstream traditions. This law's exposition stays in the operational register and does not adjudicate between the divine-agency framings.</w:t>
      </w:r>
    </w:p>
    <w:p>
      <w:pPr>
        <w:pStyle w:val="Heading2"/>
        <w:spacing w:after="160" w:before="240"/>
      </w:pPr>
      <w:r>
        <w:rPr>
          <w:rFonts w:ascii="Arial" w:cs="Arial" w:eastAsia="Arial" w:hAnsi="Arial"/>
          <w:b/>
          <w:bCs/>
          <w:sz w:val="30"/>
          <w:szCs w:val="30"/>
        </w:rPr>
        <w:t xml:space="preserve">The Scriptural Ground</w:t>
      </w:r>
    </w:p>
    <w:p>
      <w:pPr>
        <w:spacing w:after="160" w:line="300"/>
      </w:pPr>
      <w:r>
        <w:rPr>
          <w:rFonts w:ascii="Arial" w:cs="Arial" w:eastAsia="Arial" w:hAnsi="Arial"/>
          <w:b w:val="false"/>
          <w:bCs w:val="false"/>
          <w:i w:val="false"/>
          <w:iCs w:val="false"/>
          <w:sz w:val="22"/>
          <w:szCs w:val="22"/>
        </w:rPr>
        <w:t xml:space="preserve">The hardening dynamic is named across both Testaments by at least four biblical authors, with the </w:t>
      </w:r>
      <w:r>
        <w:rPr>
          <w:rFonts w:ascii="Arial" w:cs="Arial" w:eastAsia="Arial" w:hAnsi="Arial"/>
          <w:b w:val="false"/>
          <w:bCs w:val="false"/>
          <w:i/>
          <w:iCs/>
          <w:sz w:val="22"/>
          <w:szCs w:val="22"/>
        </w:rPr>
        <w:t xml:space="preserve">time-sensitivity</w:t>
      </w:r>
      <w:r>
        <w:rPr>
          <w:rFonts w:ascii="Arial" w:cs="Arial" w:eastAsia="Arial" w:hAnsi="Arial"/>
          <w:b w:val="false"/>
          <w:bCs w:val="false"/>
          <w:i w:val="false"/>
          <w:iCs w:val="false"/>
          <w:sz w:val="22"/>
          <w:szCs w:val="22"/>
        </w:rPr>
        <w:t xml:space="preserve"> clause that distinguishes hardening from other channel-load dynamics named most explicitly in Hebrews.</w:t>
      </w:r>
    </w:p>
    <w:p>
      <w:pPr>
        <w:spacing w:after="160" w:line="300"/>
      </w:pPr>
      <w:r>
        <w:rPr>
          <w:rFonts w:ascii="Arial" w:cs="Arial" w:eastAsia="Arial" w:hAnsi="Arial"/>
          <w:b w:val="false"/>
          <w:bCs w:val="false"/>
          <w:i w:val="false"/>
          <w:iCs w:val="false"/>
          <w:sz w:val="22"/>
          <w:szCs w:val="22"/>
        </w:rPr>
        <w:t xml:space="preserve">Exod. 7:13, 22; 8:15, 19, 32; 9:7, 12, 34–35; 10:1, 20, 27; 11:10; 14:8 (Moses, ESV). The Exodus account of Pharaoh's hardening is the locus classicus, and the cycle's structure is itself part of what the law names. Across the ten plagues the verbs alternate — sometimes Pharaoh hardens his own heart (8:15, 8:32, 9:34), sometimes his heart "was hardened" in the passive (9:7, 9:35), sometimes the Lord hardens Pharaoh's heart (9:12, 10:1, 10:20, 10:27, 11:10, 14:8). The early occurrences are predominantly self-hardening; the later occurrences are predominantly Lord-hardening; the trajectory across the cycle is from self-hardening to being-hardened. The narrative is not careless about the divine-human-agency interplay — it is naming the trajectory: sustained self-hardening opens onto being-hardened, and the point past which external intervention is required is the point at which the divine-agency description takes over from the human-agency description.</w:t>
      </w:r>
    </w:p>
    <w:p>
      <w:pPr>
        <w:spacing w:after="160" w:line="300"/>
      </w:pPr>
      <w:r>
        <w:rPr>
          <w:rFonts w:ascii="Arial" w:cs="Arial" w:eastAsia="Arial" w:hAnsi="Arial"/>
          <w:b w:val="false"/>
          <w:bCs w:val="false"/>
          <w:i w:val="false"/>
          <w:iCs w:val="false"/>
          <w:sz w:val="22"/>
          <w:szCs w:val="22"/>
        </w:rPr>
        <w:t xml:space="preserve">Heb. 3:7–15 (the writer of Hebrews, ESV): "Today, if you hear his voice, do not harden your hearts as in the rebellion, on the day of testing in the wilderness, where your fathers put me to the test and saw my works for forty years… Take care, brothers, lest there be in any of you an evil, unbelieving heart, leading you to fall away from the living God. But exhort one another every day, as long as it is called 'today,' that none of you may be hardened by the deceitfulness of sin." Hebrews names three features that no other text names so directly: time-sensitivity ("today"), the cumulative dynamic ("every day, as long as it is called today"), and the deceitfulness of the hardening process itself ("hardened by the deceitfulness of sin" — the hardening operates without the participant recognizing it is operating). The text is addressed to those inside the covenant community: hardening is not a category that applies only to the unbeliever; it applies to the disciple at the level of the next instance of refusal.</w:t>
      </w:r>
    </w:p>
    <w:p>
      <w:pPr>
        <w:spacing w:after="160" w:line="300"/>
      </w:pPr>
      <w:r>
        <w:rPr>
          <w:rFonts w:ascii="Arial" w:cs="Arial" w:eastAsia="Arial" w:hAnsi="Arial"/>
          <w:b w:val="false"/>
          <w:bCs w:val="false"/>
          <w:i w:val="false"/>
          <w:iCs w:val="false"/>
          <w:sz w:val="22"/>
          <w:szCs w:val="22"/>
        </w:rPr>
        <w:t xml:space="preserve">Rom. 1:21–28 (Paul, ESV): "Therefore God gave them up in the lusts of their hearts to impurity… For this reason God gave them up to dishonorable passions… And since they did not see fit to acknowledge God, God gave them up to a debased mind to do what ought not to be done." The threefold "God gave them up" is the Pauline form of the law's divine-side description, with the human-side description in the same passage: "they did not honor him as God or give thanks to him… they did not see fit to acknowledge God." The two sides are named in the same paragraph, and the divine giving-up is named as the consequence of the human refusing-to-acknowledge. The Pauline text does not adjudicate between the divine-side and human-side framings; it names both in the same operational dynamic.</w:t>
      </w:r>
    </w:p>
    <w:p>
      <w:pPr>
        <w:spacing w:after="160" w:line="300"/>
      </w:pPr>
      <w:r>
        <w:rPr>
          <w:rFonts w:ascii="Arial" w:cs="Arial" w:eastAsia="Arial" w:hAnsi="Arial"/>
          <w:b w:val="false"/>
          <w:bCs w:val="false"/>
          <w:i w:val="false"/>
          <w:iCs w:val="false"/>
          <w:sz w:val="22"/>
          <w:szCs w:val="22"/>
        </w:rPr>
        <w:t xml:space="preserve">Mark 6:52 and 8:17 (Mark, ESV): "for they did not understand about the loaves, but their hearts were hardened." "And Jesus, aware of this, said to them, 'Why are you discussing the fact that you have no bread? Do you not yet perceive or understand? Are your hearts hardened?'" Mark's account of the disciples' incipient hardening — </w:t>
      </w:r>
      <w:r>
        <w:rPr>
          <w:rFonts w:ascii="Arial" w:cs="Arial" w:eastAsia="Arial" w:hAnsi="Arial"/>
          <w:b w:val="false"/>
          <w:bCs w:val="false"/>
          <w:i/>
          <w:iCs/>
          <w:sz w:val="22"/>
          <w:szCs w:val="22"/>
        </w:rPr>
        <w:t xml:space="preserve">inside the inner circle, after the loaves, after the second loaves</w:t>
      </w:r>
      <w:r>
        <w:rPr>
          <w:rFonts w:ascii="Arial" w:cs="Arial" w:eastAsia="Arial" w:hAnsi="Arial"/>
          <w:b w:val="false"/>
          <w:bCs w:val="false"/>
          <w:i w:val="false"/>
          <w:iCs w:val="false"/>
          <w:sz w:val="22"/>
          <w:szCs w:val="22"/>
        </w:rPr>
        <w:t xml:space="preserve"> — extends the law's scope. Hardening is not a category that applies only to the resistant outsider; it applies even to the participant who has received and is currently in the presence of the One whose voice she is hearing. The hardening Jesus names in his own disciples is small, incipient, recognizable to him before it is recognizable to them. The dynamic is operative at every level of formation, not only at the threshold of belief.</w:t>
      </w:r>
    </w:p>
    <w:p>
      <w:pPr>
        <w:spacing w:after="160" w:line="300"/>
      </w:pPr>
      <w:r>
        <w:rPr>
          <w:rFonts w:ascii="Arial" w:cs="Arial" w:eastAsia="Arial" w:hAnsi="Arial"/>
          <w:b w:val="false"/>
          <w:bCs w:val="false"/>
          <w:i w:val="false"/>
          <w:iCs w:val="false"/>
          <w:sz w:val="22"/>
          <w:szCs w:val="22"/>
        </w:rPr>
        <w:t xml:space="preserve">Eph. 4:18–19 (Paul, ESV): "They are darkened in their understanding, alienated from the life of God because of the ignorance that is in them, due to the hardness of their heart. They have become callous and have given themselves up to sensuousness, greedy to practice every kind of impurity." Paul names the operational consequence of sustained hardening: darkened understanding, alienation from the life of God, calloused response, given-up-to-impurity trajectory. The text does not say the hardening </w:t>
      </w:r>
      <w:r>
        <w:rPr>
          <w:rFonts w:ascii="Arial" w:cs="Arial" w:eastAsia="Arial" w:hAnsi="Arial"/>
          <w:b w:val="false"/>
          <w:bCs w:val="false"/>
          <w:i/>
          <w:iCs/>
          <w:sz w:val="22"/>
          <w:szCs w:val="22"/>
        </w:rPr>
        <w:t xml:space="preserve">causes</w:t>
      </w:r>
      <w:r>
        <w:rPr>
          <w:rFonts w:ascii="Arial" w:cs="Arial" w:eastAsia="Arial" w:hAnsi="Arial"/>
          <w:b w:val="false"/>
          <w:bCs w:val="false"/>
          <w:i w:val="false"/>
          <w:iCs w:val="false"/>
          <w:sz w:val="22"/>
          <w:szCs w:val="22"/>
        </w:rPr>
        <w:t xml:space="preserve"> the darkening; it names them as features of the same syndrome, with the hardening as the cardinal feature.</w:t>
      </w:r>
    </w:p>
    <w:p>
      <w:pPr>
        <w:spacing w:after="160" w:line="300"/>
      </w:pPr>
      <w:r>
        <w:rPr>
          <w:rFonts w:ascii="Arial" w:cs="Arial" w:eastAsia="Arial" w:hAnsi="Arial"/>
          <w:b w:val="false"/>
          <w:bCs w:val="false"/>
          <w:i w:val="false"/>
          <w:iCs w:val="false"/>
          <w:sz w:val="22"/>
          <w:szCs w:val="22"/>
        </w:rPr>
        <w:t xml:space="preserve">Prov. 29:1 (Solomon, ESV): "He who is often reproved, yet stiffens his neck, will suddenly be broken beyond healing." The wisdom-literature register names the same dynamic from a different angle: repeated reproof, stiffened neck, sudden breaking beyond healing. The point-past-which feature of the law is named directly. The pattern is sustained refusal, then a discontinuity — the breaking — that the participant cannot recover from by the means that were available before it.</w:t>
      </w:r>
    </w:p>
    <w:p>
      <w:pPr>
        <w:pStyle w:val="Heading2"/>
        <w:spacing w:after="160" w:before="240"/>
      </w:pPr>
      <w:r>
        <w:rPr>
          <w:rFonts w:ascii="Arial" w:cs="Arial" w:eastAsia="Arial" w:hAnsi="Arial"/>
          <w:b/>
          <w:bCs/>
          <w:sz w:val="30"/>
          <w:szCs w:val="30"/>
        </w:rPr>
        <w:t xml:space="preserve">The Mechanism</w:t>
      </w:r>
    </w:p>
    <w:p>
      <w:pPr>
        <w:spacing w:after="160" w:line="300"/>
      </w:pPr>
      <w:r>
        <w:rPr>
          <w:rFonts w:ascii="Arial" w:cs="Arial" w:eastAsia="Arial" w:hAnsi="Arial"/>
          <w:b w:val="false"/>
          <w:bCs w:val="false"/>
          <w:i w:val="false"/>
          <w:iCs w:val="false"/>
          <w:sz w:val="22"/>
          <w:szCs w:val="22"/>
        </w:rPr>
        <w:t xml:space="preserve">Three features of how the law operates.</w:t>
      </w:r>
    </w:p>
    <w:p>
      <w:pPr>
        <w:spacing w:after="160" w:line="300"/>
      </w:pPr>
      <w:r>
        <w:rPr>
          <w:rFonts w:ascii="Arial" w:cs="Arial" w:eastAsia="Arial" w:hAnsi="Arial"/>
          <w:b w:val="false"/>
          <w:bCs w:val="false"/>
          <w:i w:val="false"/>
          <w:iCs w:val="false"/>
          <w:sz w:val="22"/>
          <w:szCs w:val="22"/>
        </w:rPr>
        <w:t xml:space="preserve">First, the dynamic is cumulative rather than punctual. A single instance of refused truth does not constitute hardening in the sense the law names. The law's operation requires </w:t>
      </w:r>
      <w:r>
        <w:rPr>
          <w:rFonts w:ascii="Arial" w:cs="Arial" w:eastAsia="Arial" w:hAnsi="Arial"/>
          <w:b w:val="false"/>
          <w:bCs w:val="false"/>
          <w:i/>
          <w:iCs/>
          <w:sz w:val="22"/>
          <w:szCs w:val="22"/>
        </w:rPr>
        <w:t xml:space="preserve">sustained</w:t>
      </w:r>
      <w:r>
        <w:rPr>
          <w:rFonts w:ascii="Arial" w:cs="Arial" w:eastAsia="Arial" w:hAnsi="Arial"/>
          <w:b w:val="false"/>
          <w:bCs w:val="false"/>
          <w:i w:val="false"/>
          <w:iCs w:val="false"/>
          <w:sz w:val="22"/>
          <w:szCs w:val="22"/>
        </w:rPr>
        <w:t xml:space="preserve"> refusal — repeated instances over time, with the cumulative weight progressively reducing the internal traction the next instance of truth-encounter can find. The Hebrews 3 text names the cumulative character directly with "every day, as long as it is called 'today.'" The cumulative dynamic is what gives the law its time-sensitivity: the law operates differently at the first instance than at the tenth, and differently at the tenth than at the hundredth.</w:t>
      </w:r>
    </w:p>
    <w:p>
      <w:pPr>
        <w:spacing w:after="160" w:line="300"/>
      </w:pPr>
      <w:r>
        <w:rPr>
          <w:rFonts w:ascii="Arial" w:cs="Arial" w:eastAsia="Arial" w:hAnsi="Arial"/>
          <w:b w:val="false"/>
          <w:bCs w:val="false"/>
          <w:i w:val="false"/>
          <w:iCs w:val="false"/>
          <w:sz w:val="22"/>
          <w:szCs w:val="22"/>
        </w:rPr>
        <w:t xml:space="preserve">Second, the dynamic is asymmetric in time. The hardening operates in one direction more readily than its inverse — the heart's responsiveness is easier to reduce than to restore. The reduction follows from sustained refusal; the restoration requires either an external intervention (the prophetic word, the sacramental presence, the community's persistent address, the Spirit's specific work) or a punctuating event that breaks the trajectory the cumulative refusal has set. The asymmetry is named in Prov. 29:1 as "suddenly broken beyond healing" — the breaking is the necessary discontinuity once the trajectory has reached its terminal phase — and in Heb. 3:13 as the "today" structure that locates the open window in time. The asymmetry is the structural reason the law is named as such: the dynamic is not a reversible-load dynamic of the kind Sin Blockage describes, but a one-direction trajectory dynamic in which restoration requires non-cumulative intervention.</w:t>
      </w:r>
    </w:p>
    <w:p>
      <w:pPr>
        <w:spacing w:after="160" w:line="300"/>
      </w:pPr>
      <w:r>
        <w:rPr>
          <w:rFonts w:ascii="Arial" w:cs="Arial" w:eastAsia="Arial" w:hAnsi="Arial"/>
          <w:b w:val="false"/>
          <w:bCs w:val="false"/>
          <w:i w:val="false"/>
          <w:iCs w:val="false"/>
          <w:sz w:val="22"/>
          <w:szCs w:val="22"/>
        </w:rPr>
        <w:t xml:space="preserve">Third, the dynamic operates without conscious recognition by the participant. Heb. 3:13 names the hardening as occurring "by the deceitfulness of sin" — the participant does not experience the hardening as hardening; the participant experiences the hardening as the new normal. The internal traction reduction registers as a normal range of response, not as a reduction. The result is that the law's operation is invisible to the participant who is in the middle of it, and visible to the participant only retrospectively, or to a third party — the prophet, the spouse, the Companion — who has perspective the participant in the trajectory does not. The diagnostic challenge of the law is therefore real: the participant in the early stages cannot reliably self-diagnose, and the Companion working with such a participant must hold the diagnostic responsibility that the participant cannot yet hold for herself.</w:t>
      </w:r>
    </w:p>
    <w:p>
      <w:pPr>
        <w:pStyle w:val="Heading2"/>
        <w:spacing w:after="160" w:before="240"/>
      </w:pPr>
      <w:r>
        <w:rPr>
          <w:rFonts w:ascii="Arial" w:cs="Arial" w:eastAsia="Arial" w:hAnsi="Arial"/>
          <w:b/>
          <w:bCs/>
          <w:sz w:val="30"/>
          <w:szCs w:val="30"/>
        </w:rPr>
        <w:t xml:space="preserve">Why This Is a Foundational Law</w:t>
      </w:r>
    </w:p>
    <w:p>
      <w:pPr>
        <w:spacing w:after="160" w:line="300"/>
      </w:pPr>
      <w:r>
        <w:rPr>
          <w:rFonts w:ascii="Arial" w:cs="Arial" w:eastAsia="Arial" w:hAnsi="Arial"/>
          <w:b w:val="false"/>
          <w:bCs w:val="false"/>
          <w:i w:val="false"/>
          <w:iCs w:val="false"/>
          <w:sz w:val="22"/>
          <w:szCs w:val="22"/>
        </w:rPr>
        <w:t xml:space="preserve">Multi-author scriptural support is strong. The witnesses span at least five biblical authors — Moses, the writer of Hebrews, Paul, Mark, and Solomon — across both Testaments and the registers of narrative, exhortation, epistle, gospel, and wisdom literature. The directional structure is uncontested across mainstream Christian traditions even where the divine-human-agency interplay is theologized differently. The Reformed tradition reads the dynamic with stronger emphasis on the divine-agency side; the Wesleyan-Arminian tradition with stronger emphasis on the human-agency side; the Catholic and Orthodox traditions hold the two sides in their own tensions; all hold the operational reality of the hardening as named in scripture. The differences are real and worth naming, but they affect the theological description of the mechanism rather than the operational claim that the dynamic exists and operates as described.</w:t>
      </w:r>
    </w:p>
    <w:p>
      <w:pPr>
        <w:spacing w:after="160" w:line="300"/>
      </w:pPr>
      <w:r>
        <w:rPr>
          <w:rFonts w:ascii="Arial" w:cs="Arial" w:eastAsia="Arial" w:hAnsi="Arial"/>
          <w:b w:val="false"/>
          <w:bCs w:val="false"/>
          <w:i w:val="false"/>
          <w:iCs w:val="false"/>
          <w:sz w:val="22"/>
          <w:szCs w:val="22"/>
        </w:rPr>
        <w:t xml:space="preserve">Testability in the natural is well-documented. Formation Companions know empirically that the participant who has been refusing truth on a specific point for years has a different relationship to that point than the participant encountering it for the first time. Pastors know that the trajectory of sustained refusal is real and that intervention against it requires specific work that ordinary preaching does not accomplish. Therapists know the dynamic under different vocabulary as the calcification of defensive patterns. The cross-disciplinary recognition of the dynamic, under different framings, confirms its operational reality.</w:t>
      </w:r>
    </w:p>
    <w:p>
      <w:pPr>
        <w:spacing w:after="160" w:line="300"/>
      </w:pPr>
      <w:r>
        <w:rPr>
          <w:rFonts w:ascii="Arial" w:cs="Arial" w:eastAsia="Arial" w:hAnsi="Arial"/>
          <w:b w:val="false"/>
          <w:bCs w:val="false"/>
          <w:i w:val="false"/>
          <w:iCs w:val="false"/>
          <w:sz w:val="22"/>
          <w:szCs w:val="22"/>
        </w:rPr>
        <w:t xml:space="preserve">The law belongs in the catalog for a specific structural reason. V1.Exp6 Obedience Channel names the channel-load form of resistance — disobedience to revealed instruction introducing resistance into the channel of subsequent revelation. The Hardening Law operates wider than Exp6's scope: it names responsiveness reduction across the full range of God's address, including the prophetic invitation, the conviction of conscience, the work of common grace toward those who have not yet received specific revelation, and the disciple's incipient hardening </w:t>
      </w:r>
      <w:r>
        <w:rPr>
          <w:rFonts w:ascii="Arial" w:cs="Arial" w:eastAsia="Arial" w:hAnsi="Arial"/>
          <w:b w:val="false"/>
          <w:bCs w:val="false"/>
          <w:i/>
          <w:iCs/>
          <w:sz w:val="22"/>
          <w:szCs w:val="22"/>
        </w:rPr>
        <w:t xml:space="preserve">inside</w:t>
      </w:r>
      <w:r>
        <w:rPr>
          <w:rFonts w:ascii="Arial" w:cs="Arial" w:eastAsia="Arial" w:hAnsi="Arial"/>
          <w:b w:val="false"/>
          <w:bCs w:val="false"/>
          <w:i w:val="false"/>
          <w:iCs w:val="false"/>
          <w:sz w:val="22"/>
          <w:szCs w:val="22"/>
        </w:rPr>
        <w:t xml:space="preserve"> the formation work. Hardening operates where Obedience Channel's specific-revelation-and-disobedience-to-it framing does not yet apply. The two laws are related — sustained disobedience contributes to hardening; hardening reduces the participant's responsiveness to subsequent revelation — but they are not the same law, and treating Hardening as a Mirror of Obedience Channel loses the wider scope the scripture explicitly names. The Hardening Law therefore stands as a peer law to Obedience Channel rather than as its Mirror, with the Obedience-Channel relationship named in both directions.</w:t>
      </w:r>
    </w:p>
    <w:p>
      <w:pPr>
        <w:spacing w:after="160" w:line="300"/>
      </w:pPr>
      <w:r>
        <w:rPr>
          <w:rFonts w:ascii="Arial" w:cs="Arial" w:eastAsia="Arial" w:hAnsi="Arial"/>
          <w:b/>
          <w:bCs/>
          <w:i w:val="false"/>
          <w:iCs w:val="false"/>
          <w:sz w:val="22"/>
          <w:szCs w:val="22"/>
        </w:rPr>
        <w:t xml:space="preserve">Proposed Law (Operational Law of Wide Consent): Sustained refusal of God-ward orientation progressively reduces the heart's responsiveness to truth, eventually closing the channel; the closure is incremental, cumulative, and reaches a point past which external intervention is required because the internal capacity to receive has been impaired (Heb. 3:7–15; Prov. 29:1). The dynamic is asymmetric in time — reduction follows from sustained refusal, while restoration requires external intervention or a punctuating event that breaks the trajectory — and operates without conscious recognition by the participant in the middle of it ("the deceitfulness of sin," Heb. 3:13). Scripture names both human-agency (the participant's self-hardening: Exod. 8:15, 8:32, 9:34; Eph. 4:18) and divine-agency (the Lord's hardening or giving-up: Exod. 9:12, 10:1, 10:20; Rom. 1:24, 26, 28) features of the dynamic; mainstream Christian traditions theologize the interplay between these differently, and this law operates at the level of the operational dynamic that all mainstream traditions hold in common. Scale-invariant: operates at the individual scale (Pharaoh, the disciples in Mark, the Hebrews-addressed believer), the community scale (the wilderness generation; Rom. 1's "they" plural), and arguably the generational scale (the prophets' lament over Israel's sustained refusal across centuries). Pairs with V1.Exp6 Obedience Channel as a wider law in the same family: Obedience Channel names the channel-load of specific disobedience to specific revelation; Hardening names the broader trajectory dynamic across sustained refusal in all forms.</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Hardening Law has no Mirror in the orientation-of-pursuit sense; it is itself the idol-ward face of the responsiveness-restoration that V1.Exp6 Obedience Channel and FL.VII Drawing-Near Reciprocity name from the God-ward side. The God-ward face is the sustained responsiveness that grows the heart's capacity to receive — what Drawing-Near's God-draws-near response addresses and what Obedience Channel's open-channel describes. The two faces together complete the responsiveness dynamic: sustained orientation builds responsiveness; sustained refusal reduces it; the dynamic is one mechanism viewed from two directions of pursuit.</w:t>
      </w:r>
    </w:p>
    <w:p>
      <w:pPr>
        <w:spacing w:after="160" w:line="300"/>
      </w:pPr>
      <w:r>
        <w:rPr>
          <w:rFonts w:ascii="Arial" w:cs="Arial" w:eastAsia="Arial" w:hAnsi="Arial"/>
          <w:b/>
          <w:bCs/>
          <w:i/>
          <w:iCs/>
          <w:sz w:val="22"/>
          <w:szCs w:val="22"/>
        </w:rPr>
        <w:t xml:space="preserve">Certainty: Clearly Taught.</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Multi-author scriptural support is strong (five biblical authors across both Testaments, multiple genres). Broad acceptance is uncontested across mainstream Christian traditions on the operational dynamic, with theological differences in the divine-human-agency framing that affect the description of the mechanism without affecting the operational claim. Observable testability is well-documented across pastoral, therapeutic, and contemplative literatures. The Speculative remaining uncertainty is in two areas. First, whether the law should be placed at P0 (scale-invariant) or P1 (individual, with cross-scale operation noted) — the corpus places it at P0 on the strength of scripture's treatment of community and generational hardening, but the placement is reconsiderable. Second, the precise relationship to V1.Exp6 Obedience Channel: this exposition treats the two laws as peers in the same family with distinct scopes, but a future revision may collapse them into a parent-child structure if the wider-scope material can be cleanly absorbed into Obedience Channel without loss.</w:t>
      </w:r>
    </w:p>
    <w:p>
      <w:pPr>
        <w:spacing w:after="160" w:line="300"/>
      </w:pPr>
      <w:r>
        <w:rPr>
          <w:rFonts w:ascii="Arial" w:cs="Arial" w:eastAsia="Arial" w:hAnsi="Arial"/>
          <w:b/>
          <w:bCs/>
          <w:i w:val="false"/>
          <w:iCs w:val="false"/>
          <w:sz w:val="22"/>
          <w:szCs w:val="22"/>
        </w:rPr>
        <w:t xml:space="preserve">Foundational Law XVI — Operational Law of Wide Consent</w:t>
      </w:r>
    </w:p>
    <w:p>
      <w:r>
        <w:br w:type="page"/>
      </w:r>
    </w:p>
    <w:p>
      <w:pPr>
        <w:spacing w:after="240"/>
        <w:jc w:val="right"/>
      </w:pPr>
      <w:r>
        <w:rPr>
          <w:rFonts w:ascii="Arial" w:cs="Arial" w:eastAsia="Arial" w:hAnsi="Arial"/>
          <w:i/>
          <w:iCs/>
          <w:sz w:val="20"/>
          <w:szCs w:val="20"/>
        </w:rPr>
        <w:t xml:space="preserve">File: foundational-law-xvi-the-bondage-law.md</w:t>
      </w:r>
    </w:p>
    <w:p>
      <w:pPr>
        <w:pStyle w:val="Heading1"/>
        <w:spacing w:after="240" w:before="360"/>
      </w:pPr>
      <w:r>
        <w:rPr>
          <w:rFonts w:ascii="Arial" w:cs="Arial" w:eastAsia="Arial" w:hAnsi="Arial"/>
          <w:b/>
          <w:bCs/>
          <w:sz w:val="36"/>
          <w:szCs w:val="36"/>
        </w:rPr>
        <w:t xml:space="preserve">Foundational Law XVI: The Bondage Law</w:t>
      </w:r>
    </w:p>
    <w:p>
      <w:pPr>
        <w:spacing w:after="160" w:line="300"/>
      </w:pPr>
      <w:r>
        <w:rPr>
          <w:rFonts w:ascii="Arial" w:cs="Arial" w:eastAsia="Arial" w:hAnsi="Arial"/>
          <w:b w:val="false"/>
          <w:bCs w:val="false"/>
          <w:i w:val="false"/>
          <w:iCs w:val="false"/>
          <w:sz w:val="22"/>
          <w:szCs w:val="22"/>
        </w:rPr>
        <w:t xml:space="preserve">The sixteenth foundational law pairs with FL.VI Hear-and-Obey Blessing as its idol-ward counterpart at the same scale and in the same column. FL.VI names the dynamic by which sustained hearing-and-doing of God's word produces blessedness and the flourishing proper to the unit operating in the law. The Bondage Law names the same mechanism — sustained obedience as constitutive of the obeyer's state — when the obedience is directed at sin rather than at God. The operator who sustained-obeys what God speaks is formed into the freedom and flourishing the scripture promises; the operator who sustained-obeys what sin asks is formed into bondage, with the slavery growing in proportion to the duration and intensity of the obeying. The Pauline and Johannine framings are explicit that this operates as a structural law of the same kind FL.VI describes: obedience is constitutive of the obeyer's state, regardless of which master the obedience is directed toward. The two laws are the same dynamic viewed from two directions of pursuit.</w:t>
      </w:r>
    </w:p>
    <w:p>
      <w:pPr>
        <w:spacing w:after="160" w:line="300"/>
      </w:pPr>
      <w:r>
        <w:rPr>
          <w:rFonts w:ascii="Arial" w:cs="Arial" w:eastAsia="Arial" w:hAnsi="Arial"/>
          <w:b w:val="false"/>
          <w:bCs w:val="false"/>
          <w:i w:val="false"/>
          <w:iCs w:val="false"/>
          <w:sz w:val="22"/>
          <w:szCs w:val="22"/>
        </w:rPr>
        <w:t xml:space="preserve">The Bondage Law is scale-invariant in the same way Hear-and-Obey is scale-invariant. The individual who sustained-obeys an addiction is enslaved to it; the community that sustained-obeys an ideology is enslaved to it; the generation that sustained-obeys an inherited pattern is enslaved to it. The mechanism is identical at every scale, because the mechanism is in the obedience-constitutes-state structure rather than in any scale-specific feature. The law's placement at Period 0 follows from this scale-invariance.</w:t>
      </w:r>
    </w:p>
    <w:p>
      <w:pPr>
        <w:pStyle w:val="Heading2"/>
        <w:spacing w:after="160" w:before="240"/>
      </w:pPr>
      <w:r>
        <w:rPr>
          <w:rFonts w:ascii="Arial" w:cs="Arial" w:eastAsia="Arial" w:hAnsi="Arial"/>
          <w:b/>
          <w:bCs/>
          <w:sz w:val="30"/>
          <w:szCs w:val="30"/>
        </w:rPr>
        <w:t xml:space="preserve">The Scriptural Ground</w:t>
      </w:r>
    </w:p>
    <w:p>
      <w:pPr>
        <w:spacing w:after="160" w:line="300"/>
      </w:pPr>
      <w:r>
        <w:rPr>
          <w:rFonts w:ascii="Arial" w:cs="Arial" w:eastAsia="Arial" w:hAnsi="Arial"/>
          <w:b w:val="false"/>
          <w:bCs w:val="false"/>
          <w:i w:val="false"/>
          <w:iCs w:val="false"/>
          <w:sz w:val="22"/>
          <w:szCs w:val="22"/>
        </w:rPr>
        <w:t xml:space="preserve">The bondage dynamic is named across both Testaments by at least four biblical authors, with the structural claim — </w:t>
      </w:r>
      <w:r>
        <w:rPr>
          <w:rFonts w:ascii="Arial" w:cs="Arial" w:eastAsia="Arial" w:hAnsi="Arial"/>
          <w:b w:val="false"/>
          <w:bCs w:val="false"/>
          <w:i/>
          <w:iCs/>
          <w:sz w:val="22"/>
          <w:szCs w:val="22"/>
        </w:rPr>
        <w:t xml:space="preserve">obedience constitutes the obeyer's state of slavery</w:t>
      </w:r>
      <w:r>
        <w:rPr>
          <w:rFonts w:ascii="Arial" w:cs="Arial" w:eastAsia="Arial" w:hAnsi="Arial"/>
          <w:b w:val="false"/>
          <w:bCs w:val="false"/>
          <w:i w:val="false"/>
          <w:iCs w:val="false"/>
          <w:sz w:val="22"/>
          <w:szCs w:val="22"/>
        </w:rPr>
        <w:t xml:space="preserve"> — stated most directly in Romans 6 and the Johannine farewell discourse.</w:t>
      </w:r>
    </w:p>
    <w:p>
      <w:pPr>
        <w:spacing w:after="160" w:line="300"/>
      </w:pPr>
      <w:r>
        <w:rPr>
          <w:rFonts w:ascii="Arial" w:cs="Arial" w:eastAsia="Arial" w:hAnsi="Arial"/>
          <w:b w:val="false"/>
          <w:bCs w:val="false"/>
          <w:i w:val="false"/>
          <w:iCs w:val="false"/>
          <w:sz w:val="22"/>
          <w:szCs w:val="22"/>
        </w:rPr>
        <w:t xml:space="preserve">Rom. 6:16 (Paul, ESV): "Do you not know that if you present yourselves to anyone as obedient slaves, you are slaves of the one whom you obey, either of sin, which leads to death, or of obedience, which leads to righteousness?" Paul's text is the most direct scriptural statement of the law's mechanism. The participle </w:t>
      </w:r>
      <w:r>
        <w:rPr>
          <w:rFonts w:ascii="Arial" w:cs="Arial" w:eastAsia="Arial" w:hAnsi="Arial"/>
          <w:b w:val="false"/>
          <w:bCs w:val="false"/>
          <w:i/>
          <w:iCs/>
          <w:sz w:val="22"/>
          <w:szCs w:val="22"/>
        </w:rPr>
        <w:t xml:space="preserve">as obedient slaves</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hypakoēn doulous</w:t>
      </w:r>
      <w:r>
        <w:rPr>
          <w:rFonts w:ascii="Arial" w:cs="Arial" w:eastAsia="Arial" w:hAnsi="Arial"/>
          <w:b w:val="false"/>
          <w:bCs w:val="false"/>
          <w:i w:val="false"/>
          <w:iCs w:val="false"/>
          <w:sz w:val="22"/>
          <w:szCs w:val="22"/>
        </w:rPr>
        <w:t xml:space="preserve">) makes the structural claim explicit: presenting yourself as an obedient-slave-to-X constitutes the presenter as the slave of X. The categorical disjunction at the end of the verse — "either of sin, which leads to death, or of obedience, which leads to righteousness" — names the binary the law operates within: the obedience-constitutes-state mechanism operates in both directions, with sin and righteousness as the two candidate masters and death and righteousness as the two characteristic outputs.</w:t>
      </w:r>
    </w:p>
    <w:p>
      <w:pPr>
        <w:spacing w:after="160" w:line="300"/>
      </w:pPr>
      <w:r>
        <w:rPr>
          <w:rFonts w:ascii="Arial" w:cs="Arial" w:eastAsia="Arial" w:hAnsi="Arial"/>
          <w:b w:val="false"/>
          <w:bCs w:val="false"/>
          <w:i w:val="false"/>
          <w:iCs w:val="false"/>
          <w:sz w:val="22"/>
          <w:szCs w:val="22"/>
        </w:rPr>
        <w:t xml:space="preserve">Rom. 6:19–22 (Paul, ESV) extends the same claim across a longer arc: "For just as you once presented your members as slaves to impurity and to lawlessness leading to more lawlessness, so now present your members as slaves to righteousness leading to sanctification… But now that you have been set free from sin and have become slaves of God, the fruit you get leads to sanctification and its end, eternal life." The same mechanism, the same directional outputs, the same binary. The text also names a feature the law's exposition needs to recover: "lawlessness leading to more lawlessness" — the bondage compounds. The slave of sin becomes a more enslaved slave of sin over time; the dynamic is not static but progressive.</w:t>
      </w:r>
    </w:p>
    <w:p>
      <w:pPr>
        <w:spacing w:after="160" w:line="300"/>
      </w:pPr>
      <w:r>
        <w:rPr>
          <w:rFonts w:ascii="Arial" w:cs="Arial" w:eastAsia="Arial" w:hAnsi="Arial"/>
          <w:b w:val="false"/>
          <w:bCs w:val="false"/>
          <w:i w:val="false"/>
          <w:iCs w:val="false"/>
          <w:sz w:val="22"/>
          <w:szCs w:val="22"/>
        </w:rPr>
        <w:t xml:space="preserve">John 8:34 (Jesus, ESV): "Truly, truly, I say to you, everyone who commits sin is a slave to sin." The Johannine form of the claim is more compact than the Pauline form, and the </w:t>
      </w:r>
      <w:r>
        <w:rPr>
          <w:rFonts w:ascii="Arial" w:cs="Arial" w:eastAsia="Arial" w:hAnsi="Arial"/>
          <w:b w:val="false"/>
          <w:bCs w:val="false"/>
          <w:i/>
          <w:iCs/>
          <w:sz w:val="22"/>
          <w:szCs w:val="22"/>
        </w:rPr>
        <w:t xml:space="preserve">truly, truly</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amēn amēn</w:t>
      </w:r>
      <w:r>
        <w:rPr>
          <w:rFonts w:ascii="Arial" w:cs="Arial" w:eastAsia="Arial" w:hAnsi="Arial"/>
          <w:b w:val="false"/>
          <w:bCs w:val="false"/>
          <w:i w:val="false"/>
          <w:iCs w:val="false"/>
          <w:sz w:val="22"/>
          <w:szCs w:val="22"/>
        </w:rPr>
        <w:t xml:space="preserve">) formula marks the statement as carrying particular authoritative weight in the Johannine register. The claim is categorical: every commission of sin establishes the committer as a slave. The Johannine statement does not include the directional output Paul's text spells out, but the structural claim about obedience constituting state of slavery is the same.</w:t>
      </w:r>
    </w:p>
    <w:p>
      <w:pPr>
        <w:spacing w:after="160" w:line="300"/>
      </w:pPr>
      <w:r>
        <w:rPr>
          <w:rFonts w:ascii="Arial" w:cs="Arial" w:eastAsia="Arial" w:hAnsi="Arial"/>
          <w:b w:val="false"/>
          <w:bCs w:val="false"/>
          <w:i w:val="false"/>
          <w:iCs w:val="false"/>
          <w:sz w:val="22"/>
          <w:szCs w:val="22"/>
        </w:rPr>
        <w:t xml:space="preserve">2 Pet. 2:19 (Peter, ESV): "They promise them freedom, but they themselves are slaves of corruption. For whatever overcomes a person, to that he is enslaved." Peter generalizes the law from sin specifically to </w:t>
      </w:r>
      <w:r>
        <w:rPr>
          <w:rFonts w:ascii="Arial" w:cs="Arial" w:eastAsia="Arial" w:hAnsi="Arial"/>
          <w:b w:val="false"/>
          <w:bCs w:val="false"/>
          <w:i/>
          <w:iCs/>
          <w:sz w:val="22"/>
          <w:szCs w:val="22"/>
        </w:rPr>
        <w:t xml:space="preserve">whatever overcomes a person</w:t>
      </w:r>
      <w:r>
        <w:rPr>
          <w:rFonts w:ascii="Arial" w:cs="Arial" w:eastAsia="Arial" w:hAnsi="Arial"/>
          <w:b w:val="false"/>
          <w:bCs w:val="false"/>
          <w:i w:val="false"/>
          <w:iCs w:val="false"/>
          <w:sz w:val="22"/>
          <w:szCs w:val="22"/>
        </w:rPr>
        <w:t xml:space="preserve">. The structural mechanism — overcoming-constitutes-slavery — is named without restriction to a particular content domain. The result is that the law applies wherever the dynamic operates: not only to sin in the narrow theological sense, but to addiction, ideology, possession, fear, and any other content that sustained-obedience to it can establish over the obedient. The Petrine framing widens the law's scope without changing its mechanism.</w:t>
      </w:r>
    </w:p>
    <w:p>
      <w:pPr>
        <w:spacing w:after="160" w:line="300"/>
      </w:pPr>
      <w:r>
        <w:rPr>
          <w:rFonts w:ascii="Arial" w:cs="Arial" w:eastAsia="Arial" w:hAnsi="Arial"/>
          <w:b w:val="false"/>
          <w:bCs w:val="false"/>
          <w:i w:val="false"/>
          <w:iCs w:val="false"/>
          <w:sz w:val="22"/>
          <w:szCs w:val="22"/>
        </w:rPr>
        <w:t xml:space="preserve">Prov. 5:22 (Solomon, ESV): "The iniquities of the wicked ensnare him, and he is held fast in the cords of his sin." The wisdom-literature register names the same dynamic with the metaphor of the cords. The iniquities themselves do the ensnaring — the bondage is generated by the iniquities, not externally imposed as punishment. The sustained sinner is </w:t>
      </w:r>
      <w:r>
        <w:rPr>
          <w:rFonts w:ascii="Arial" w:cs="Arial" w:eastAsia="Arial" w:hAnsi="Arial"/>
          <w:b w:val="false"/>
          <w:bCs w:val="false"/>
          <w:i/>
          <w:iCs/>
          <w:sz w:val="22"/>
          <w:szCs w:val="22"/>
        </w:rPr>
        <w:t xml:space="preserve">held fast</w:t>
      </w:r>
      <w:r>
        <w:rPr>
          <w:rFonts w:ascii="Arial" w:cs="Arial" w:eastAsia="Arial" w:hAnsi="Arial"/>
          <w:b w:val="false"/>
          <w:bCs w:val="false"/>
          <w:i w:val="false"/>
          <w:iCs w:val="false"/>
          <w:sz w:val="22"/>
          <w:szCs w:val="22"/>
        </w:rPr>
        <w:t xml:space="preserve">: the bondage is operational rather than declarative.</w:t>
      </w:r>
    </w:p>
    <w:p>
      <w:pPr>
        <w:spacing w:after="160" w:line="300"/>
      </w:pPr>
      <w:r>
        <w:rPr>
          <w:rFonts w:ascii="Arial" w:cs="Arial" w:eastAsia="Arial" w:hAnsi="Arial"/>
          <w:b w:val="false"/>
          <w:bCs w:val="false"/>
          <w:i w:val="false"/>
          <w:iCs w:val="false"/>
          <w:sz w:val="22"/>
          <w:szCs w:val="22"/>
        </w:rPr>
        <w:t xml:space="preserve">Heb. 12:1 (the writer of Hebrews, ESV): "Let us also lay aside every weight, and sin which clings so closely, and let us run with endurance the race that is set before us." The image of sin's clinging — </w:t>
      </w:r>
      <w:r>
        <w:rPr>
          <w:rFonts w:ascii="Arial" w:cs="Arial" w:eastAsia="Arial" w:hAnsi="Arial"/>
          <w:b w:val="false"/>
          <w:bCs w:val="false"/>
          <w:i/>
          <w:iCs/>
          <w:sz w:val="22"/>
          <w:szCs w:val="22"/>
        </w:rPr>
        <w:t xml:space="preserve">euperistaton</w:t>
      </w:r>
      <w:r>
        <w:rPr>
          <w:rFonts w:ascii="Arial" w:cs="Arial" w:eastAsia="Arial" w:hAnsi="Arial"/>
          <w:b w:val="false"/>
          <w:bCs w:val="false"/>
          <w:i w:val="false"/>
          <w:iCs w:val="false"/>
          <w:sz w:val="22"/>
          <w:szCs w:val="22"/>
        </w:rPr>
        <w:t xml:space="preserve">, that which surrounds and holds close — names the same dynamic with the directional inverse implied: the runner cannot run while the clinging sin holds, and the laying-aside is the prior condition of the running. The text does not state the bondage as a categorical claim, but names it operationally as the runner's condition prior to laying-aside.</w:t>
      </w:r>
    </w:p>
    <w:p>
      <w:pPr>
        <w:spacing w:after="160" w:line="300"/>
      </w:pPr>
      <w:r>
        <w:rPr>
          <w:rFonts w:ascii="Arial" w:cs="Arial" w:eastAsia="Arial" w:hAnsi="Arial"/>
          <w:b w:val="false"/>
          <w:bCs w:val="false"/>
          <w:i w:val="false"/>
          <w:iCs w:val="false"/>
          <w:sz w:val="22"/>
          <w:szCs w:val="22"/>
        </w:rPr>
        <w:t xml:space="preserve">Titus 3:3 (Paul, ESV): "For we ourselves were once foolish, disobedient, led astray, slaves to various passions and pleasures…" Paul's autobiographical-confessional form of the law: the apostle and his readers recognize themselves as having been in the bondage the law describes. The bondage's experiential register — being-led-astray, being-slaves-to-passions — names the inward signature.</w:t>
      </w:r>
    </w:p>
    <w:p>
      <w:pPr>
        <w:pStyle w:val="Heading2"/>
        <w:spacing w:after="160" w:before="240"/>
      </w:pPr>
      <w:r>
        <w:rPr>
          <w:rFonts w:ascii="Arial" w:cs="Arial" w:eastAsia="Arial" w:hAnsi="Arial"/>
          <w:b/>
          <w:bCs/>
          <w:sz w:val="30"/>
          <w:szCs w:val="30"/>
        </w:rPr>
        <w:t xml:space="preserve">The Mechanism</w:t>
      </w:r>
    </w:p>
    <w:p>
      <w:pPr>
        <w:spacing w:after="160" w:line="300"/>
      </w:pPr>
      <w:r>
        <w:rPr>
          <w:rFonts w:ascii="Arial" w:cs="Arial" w:eastAsia="Arial" w:hAnsi="Arial"/>
          <w:b w:val="false"/>
          <w:bCs w:val="false"/>
          <w:i w:val="false"/>
          <w:iCs w:val="false"/>
          <w:sz w:val="22"/>
          <w:szCs w:val="22"/>
        </w:rPr>
        <w:t xml:space="preserve">Three features of how the law operates.</w:t>
      </w:r>
    </w:p>
    <w:p>
      <w:pPr>
        <w:spacing w:after="160" w:line="300"/>
      </w:pPr>
      <w:r>
        <w:rPr>
          <w:rFonts w:ascii="Arial" w:cs="Arial" w:eastAsia="Arial" w:hAnsi="Arial"/>
          <w:b w:val="false"/>
          <w:bCs w:val="false"/>
          <w:i w:val="false"/>
          <w:iCs w:val="false"/>
          <w:sz w:val="22"/>
          <w:szCs w:val="22"/>
        </w:rPr>
        <w:t xml:space="preserve">First, the obedience constitutes the slavery. The structural claim Rom. 6:16 makes is that the act of obeying is itself the act of being-enslaved-to. The slavery is not an external consequence imposed after the obedience; it is the relational form the obedience takes. To obey X is to be the slave of X by definition; there is no act of obedience that does not have this character. The law operates at the level of the action's intrinsic structure rather than at the level of accumulated consequences after the action.</w:t>
      </w:r>
    </w:p>
    <w:p>
      <w:pPr>
        <w:spacing w:after="160" w:line="300"/>
      </w:pPr>
      <w:r>
        <w:rPr>
          <w:rFonts w:ascii="Arial" w:cs="Arial" w:eastAsia="Arial" w:hAnsi="Arial"/>
          <w:b w:val="false"/>
          <w:bCs w:val="false"/>
          <w:i w:val="false"/>
          <w:iCs w:val="false"/>
          <w:sz w:val="22"/>
          <w:szCs w:val="22"/>
        </w:rPr>
        <w:t xml:space="preserve">Second, the bondage compounds. Romans 6:19's "lawlessness leading to more lawlessness" names the cumulative dynamic: sustained submission to a master forms the habitus of submission, and the formed habitus reduces the will's freedom to choose the next instance of the obedience. The participant who has obeyed an impulse twenty times has a different relationship to the twenty-first instance than the participant facing the impulse for the first time. The dynamic is progressive in the same way the Hardening Law's responsiveness reduction is progressive: each instance contributes to the cumulative state, and the cumulative state reduces the available freedom for the next instance. The relationship between this law and the Hardening Law is real but distinct: Hardening reduces responsiveness to truth; Bondage reduces freedom in the will. Both are cumulative; both operate at the trajectory level; both are theologically related but operationally separable.</w:t>
      </w:r>
    </w:p>
    <w:p>
      <w:pPr>
        <w:spacing w:after="160" w:line="300"/>
      </w:pPr>
      <w:r>
        <w:rPr>
          <w:rFonts w:ascii="Arial" w:cs="Arial" w:eastAsia="Arial" w:hAnsi="Arial"/>
          <w:b w:val="false"/>
          <w:bCs w:val="false"/>
          <w:i w:val="false"/>
          <w:iCs w:val="false"/>
          <w:sz w:val="22"/>
          <w:szCs w:val="22"/>
        </w:rPr>
        <w:t xml:space="preserve">Third, the bondage is asymmetric with respect to its inverse. Sustained submission to a master establishes slavery; sustained refusal does not by itself establish freedom. Freedom from a master to whom one has been enslaved requires either an external deliverance (the slave's manumission by another's act), or a transfer of obedience to a different master that displaces the first (Rom. 6:22's </w:t>
      </w:r>
      <w:r>
        <w:rPr>
          <w:rFonts w:ascii="Arial" w:cs="Arial" w:eastAsia="Arial" w:hAnsi="Arial"/>
          <w:b w:val="false"/>
          <w:bCs w:val="false"/>
          <w:i/>
          <w:iCs/>
          <w:sz w:val="22"/>
          <w:szCs w:val="22"/>
        </w:rPr>
        <w:t xml:space="preserve">slaves of God</w:t>
      </w:r>
      <w:r>
        <w:rPr>
          <w:rFonts w:ascii="Arial" w:cs="Arial" w:eastAsia="Arial" w:hAnsi="Arial"/>
          <w:b w:val="false"/>
          <w:bCs w:val="false"/>
          <w:i w:val="false"/>
          <w:iCs w:val="false"/>
          <w:sz w:val="22"/>
          <w:szCs w:val="22"/>
        </w:rPr>
        <w:t xml:space="preserve"> as the operational alternative to slaves of sin), or both. The Pauline framing across Romans 6, Galatians 5, and 2 Cor. 3 consistently names freedom as accomplished by Christ's deliverance from one master and given by transferred slavery to God; it does not name freedom as a third state alongside the two slaveries. The structural claim is that human will operates within a slavery-to-something framework, with the </w:t>
      </w:r>
      <w:r>
        <w:rPr>
          <w:rFonts w:ascii="Arial" w:cs="Arial" w:eastAsia="Arial" w:hAnsi="Arial"/>
          <w:b w:val="false"/>
          <w:bCs w:val="false"/>
          <w:i/>
          <w:iCs/>
          <w:sz w:val="22"/>
          <w:szCs w:val="22"/>
        </w:rPr>
        <w:t xml:space="preserve">which master</w:t>
      </w:r>
      <w:r>
        <w:rPr>
          <w:rFonts w:ascii="Arial" w:cs="Arial" w:eastAsia="Arial" w:hAnsi="Arial"/>
          <w:b w:val="false"/>
          <w:bCs w:val="false"/>
          <w:i w:val="false"/>
          <w:iCs w:val="false"/>
          <w:sz w:val="22"/>
          <w:szCs w:val="22"/>
        </w:rPr>
        <w:t xml:space="preserve"> being the variable rather than the </w:t>
      </w:r>
      <w:r>
        <w:rPr>
          <w:rFonts w:ascii="Arial" w:cs="Arial" w:eastAsia="Arial" w:hAnsi="Arial"/>
          <w:b w:val="false"/>
          <w:bCs w:val="false"/>
          <w:i/>
          <w:iCs/>
          <w:sz w:val="22"/>
          <w:szCs w:val="22"/>
        </w:rPr>
        <w:t xml:space="preserve">whether there is a master</w:t>
      </w:r>
      <w:r>
        <w:rPr>
          <w:rFonts w:ascii="Arial" w:cs="Arial" w:eastAsia="Arial" w:hAnsi="Arial"/>
          <w:b w:val="false"/>
          <w:bCs w:val="false"/>
          <w:i w:val="false"/>
          <w:iCs w:val="false"/>
          <w:sz w:val="22"/>
          <w:szCs w:val="22"/>
        </w:rPr>
        <w:t xml:space="preserve">. The Bondage Law's idol-ward operation therefore terminates in either deliverance to God-ward slavery or in death; it does not terminate in a third self-sufficient freedom.</w:t>
      </w:r>
    </w:p>
    <w:p>
      <w:pPr>
        <w:pStyle w:val="Heading2"/>
        <w:spacing w:after="160" w:before="240"/>
      </w:pPr>
      <w:r>
        <w:rPr>
          <w:rFonts w:ascii="Arial" w:cs="Arial" w:eastAsia="Arial" w:hAnsi="Arial"/>
          <w:b/>
          <w:bCs/>
          <w:sz w:val="30"/>
          <w:szCs w:val="30"/>
        </w:rPr>
        <w:t xml:space="preserve">Why This Is a Foundational Law</w:t>
      </w:r>
    </w:p>
    <w:p>
      <w:pPr>
        <w:spacing w:after="160" w:line="300"/>
      </w:pPr>
      <w:r>
        <w:rPr>
          <w:rFonts w:ascii="Arial" w:cs="Arial" w:eastAsia="Arial" w:hAnsi="Arial"/>
          <w:b w:val="false"/>
          <w:bCs w:val="false"/>
          <w:i w:val="false"/>
          <w:iCs w:val="false"/>
          <w:sz w:val="22"/>
          <w:szCs w:val="22"/>
        </w:rPr>
        <w:t xml:space="preserve">Multi-author scriptural support is strong. The witnesses span at least four biblical authors — Paul (Romans, Titus), John (Gospel), Peter (2 Peter), and Solomon (Proverbs) — with corroborating treatment in Hebrews and James. The directional structure — sustained obedience to sin constitutes slavery to sin, with the slavery compounding over time — is uncontested across mainstream Christian traditions. The Reformed tradition holds the dynamic under total depravity's effect on the bound will (Luther, </w:t>
      </w:r>
      <w:r>
        <w:rPr>
          <w:rFonts w:ascii="Arial" w:cs="Arial" w:eastAsia="Arial" w:hAnsi="Arial"/>
          <w:b w:val="false"/>
          <w:bCs w:val="false"/>
          <w:i/>
          <w:iCs/>
          <w:sz w:val="22"/>
          <w:szCs w:val="22"/>
        </w:rPr>
        <w:t xml:space="preserve">De Servo Arbitrio</w:t>
      </w:r>
      <w:r>
        <w:rPr>
          <w:rFonts w:ascii="Arial" w:cs="Arial" w:eastAsia="Arial" w:hAnsi="Arial"/>
          <w:b w:val="false"/>
          <w:bCs w:val="false"/>
          <w:i w:val="false"/>
          <w:iCs w:val="false"/>
          <w:sz w:val="22"/>
          <w:szCs w:val="22"/>
        </w:rPr>
        <w:t xml:space="preserve">); the Wesleyan tradition under the bondage that prevenient grace begins to release; the Catholic tradition under the bondage </w:t>
      </w:r>
      <w:r>
        <w:rPr>
          <w:rFonts w:ascii="Arial" w:cs="Arial" w:eastAsia="Arial" w:hAnsi="Arial"/>
          <w:b w:val="false"/>
          <w:bCs w:val="false"/>
          <w:i/>
          <w:iCs/>
          <w:sz w:val="22"/>
          <w:szCs w:val="22"/>
        </w:rPr>
        <w:t xml:space="preserve">concupiscentia</w:t>
      </w:r>
      <w:r>
        <w:rPr>
          <w:rFonts w:ascii="Arial" w:cs="Arial" w:eastAsia="Arial" w:hAnsi="Arial"/>
          <w:b w:val="false"/>
          <w:bCs w:val="false"/>
          <w:i w:val="false"/>
          <w:iCs w:val="false"/>
          <w:sz w:val="22"/>
          <w:szCs w:val="22"/>
        </w:rPr>
        <w:t xml:space="preserve"> establishes against the rational will; the Orthodox tradition under the gnomic will's settling against the natural will's God-directedness. The operational claim is held in common.</w:t>
      </w:r>
    </w:p>
    <w:p>
      <w:pPr>
        <w:spacing w:after="160" w:line="300"/>
      </w:pPr>
      <w:r>
        <w:rPr>
          <w:rFonts w:ascii="Arial" w:cs="Arial" w:eastAsia="Arial" w:hAnsi="Arial"/>
          <w:b w:val="false"/>
          <w:bCs w:val="false"/>
          <w:i w:val="false"/>
          <w:iCs w:val="false"/>
          <w:sz w:val="22"/>
          <w:szCs w:val="22"/>
        </w:rPr>
        <w:t xml:space="preserve">Testability in the natural is well-documented. The addiction literature, the trauma literature, the political-ideology literature all name the dynamic under different vocabularies, with the same structural pattern: sustained submission to X establishes the submitter in a state of reduced freedom relative to X, with the state compounding under continued submission. The cross-disciplinary recognition of the dynamic, under different framings, confirms its operational reality.</w:t>
      </w:r>
    </w:p>
    <w:p>
      <w:pPr>
        <w:spacing w:after="160" w:line="300"/>
      </w:pPr>
      <w:r>
        <w:rPr>
          <w:rFonts w:ascii="Arial" w:cs="Arial" w:eastAsia="Arial" w:hAnsi="Arial"/>
          <w:b w:val="false"/>
          <w:bCs w:val="false"/>
          <w:i w:val="false"/>
          <w:iCs w:val="false"/>
          <w:sz w:val="22"/>
          <w:szCs w:val="22"/>
        </w:rPr>
        <w:t xml:space="preserve">The law belongs in the catalog as the structural counterpart of FL.VI Hear-and-Obey Blessing. FL.VI names what happens when the obedience is directed at God's word: blessedness and flourishing of the form proper to the unit operating in the law. The Bondage Law names what happens when the obedience is directed at sin's claim: bondage and diminishment of the form proper to the unit operating against the law. The two laws are the same mechanism — sustained obedience as constitutive of the obeyer's state — viewed from two directions of pursuit. Treating them as a pair makes the structural symmetry visible in the table: P0/GV holds both laws at the same scale-invariant location, with the orientation determining which output the same mechanism produces.</w:t>
      </w:r>
    </w:p>
    <w:p>
      <w:pPr>
        <w:spacing w:after="160" w:line="300"/>
      </w:pPr>
      <w:r>
        <w:rPr>
          <w:rFonts w:ascii="Arial" w:cs="Arial" w:eastAsia="Arial" w:hAnsi="Arial"/>
          <w:b/>
          <w:bCs/>
          <w:i w:val="false"/>
          <w:iCs w:val="false"/>
          <w:sz w:val="22"/>
          <w:szCs w:val="22"/>
        </w:rPr>
        <w:t xml:space="preserve">Proposed Law (Operational Law of Wide Consent): Sustained obedience to sin constitutes the obeyer as the slave of sin (Rom. 6:16; John 8:34); the obeyer becomes the slave of whatever the obeyer obeys, with the slavery growing in proportion to the duration and intensity of the obedience (Rom. 6:19's "lawlessness leading to more lawlessness"). The dynamic operates at the level of the action's intrinsic structure rather than at the level of accumulated consequence: to obey X is to be the slave of X by definition, not after. The mechanism applies wherever the dynamic operates — to sin in the theological sense, to addiction, to ideology, to fear, to any content whose sustained obedience can establish over the obedient (2 Pet. 2:19 "whatever overcomes a person, to that he is enslaved"). The bondage is asymmetric with respect to its inverse: sustained refusal does not by itself establish freedom; freedom from a master to whom one has been enslaved requires deliverance, transferred obedience to another master, or both (Rom. 6:22's </w:t>
      </w:r>
      <w:r>
        <w:rPr>
          <w:rFonts w:ascii="Arial" w:cs="Arial" w:eastAsia="Arial" w:hAnsi="Arial"/>
          <w:b/>
          <w:bCs/>
          <w:i/>
          <w:iCs/>
          <w:sz w:val="22"/>
          <w:szCs w:val="22"/>
        </w:rPr>
        <w:t xml:space="preserve">slaves of God</w:t>
      </w:r>
      <w:r>
        <w:rPr>
          <w:rFonts w:ascii="Arial" w:cs="Arial" w:eastAsia="Arial" w:hAnsi="Arial"/>
          <w:b/>
          <w:bCs/>
          <w:i w:val="false"/>
          <w:iCs w:val="false"/>
          <w:sz w:val="22"/>
          <w:szCs w:val="22"/>
        </w:rPr>
        <w:t xml:space="preserve"> as the operational alternative). Scale-invariant: operates at the individual scale (the addict, the participant captured by a besetting pattern), the community scale (the community captured by an ideology or unjust structure), and arguably the generational scale (inherited patterns whose origin is upstream of any specific individual's choice). Pairs with FL.VI Hear-and-Obey Blessing as its structural counterpart at P0/GV: the same mechanism produces blessing under God-ward orientation and bondage under idol-ward orientation. Directional tag: bidirectional in the original sense Rom. 6:16 spells out (slaves of either sin or righteousness), with the present law occupying the idol-ward face of the bidirectional whole.</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Bondage Law's God-ward face is FL.VI Hear-and-Obey Blessing — sustained obedience to God's word constitutes the obeyer as a slave of God, with the slavery to God producing the freedom and flourishing every other slavery fails to deliver. Romans 6:22 names this directly: "having been set free from sin and become slaves of God, the fruit you get leads to sanctification." The two laws together cover the bidirectional whole of the obedience-constitutes-state dynamic at P0/GV.</w:t>
      </w:r>
    </w:p>
    <w:p>
      <w:pPr>
        <w:spacing w:after="160" w:line="300"/>
      </w:pPr>
      <w:r>
        <w:rPr>
          <w:rFonts w:ascii="Arial" w:cs="Arial" w:eastAsia="Arial" w:hAnsi="Arial"/>
          <w:b/>
          <w:bCs/>
          <w:i/>
          <w:iCs/>
          <w:sz w:val="22"/>
          <w:szCs w:val="22"/>
        </w:rPr>
        <w:t xml:space="preserve">Certainty: Clearly Taught.</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Multi-author scriptural support is strong (four biblical authors across both Testaments, with the most direct statement at Rom. 6:16 carrying explicit categorical-disjunction form). Broad acceptance is uncontested across mainstream Christian traditions on the operational dynamic, with theological differences in the framing of the bondage relative to the doctrine of the will (Reformed: bound will; Wesleyan: bondage that prevenient grace releases; Catholic: concupiscence against the rational will; Orthodox: gnomic will against natural will) that affect the description of the mechanism without affecting the operational claim. Observable testability is well-documented across multiple disciplines under different vocabularies. The Speculative remaining uncertainty concerns the boundary case of partial bondage: the law names the operational dynamic of sustained obedience producing slavery, but the precise threshold at which an instance becomes "sustained" enough to constitute slavery rather than a single act is not specified by the text and is reasonably treated as varying with content domain. The corpus reserves judgment on whether the threshold should be operationalized further.</w:t>
      </w:r>
    </w:p>
    <w:p>
      <w:pPr>
        <w:spacing w:after="160" w:line="300"/>
      </w:pPr>
      <w:r>
        <w:rPr>
          <w:rFonts w:ascii="Arial" w:cs="Arial" w:eastAsia="Arial" w:hAnsi="Arial"/>
          <w:b/>
          <w:bCs/>
          <w:i w:val="false"/>
          <w:iCs w:val="false"/>
          <w:sz w:val="22"/>
          <w:szCs w:val="22"/>
        </w:rPr>
        <w:t xml:space="preserve">Foundational Law XVII — Operational Law of Wide Consent</w:t>
      </w:r>
    </w:p>
    <w:p>
      <w:r>
        <w:br w:type="page"/>
      </w:r>
    </w:p>
    <w:p>
      <w:pPr>
        <w:spacing w:after="240"/>
        <w:jc w:val="right"/>
      </w:pPr>
      <w:r>
        <w:rPr>
          <w:rFonts w:ascii="Arial" w:cs="Arial" w:eastAsia="Arial" w:hAnsi="Arial"/>
          <w:i/>
          <w:iCs/>
          <w:sz w:val="20"/>
          <w:szCs w:val="20"/>
        </w:rPr>
        <w:t xml:space="preserve">File: foundational-law-xvii-the-substitution-cascade-law.md</w:t>
      </w:r>
    </w:p>
    <w:p>
      <w:pPr>
        <w:pStyle w:val="Heading1"/>
        <w:spacing w:after="240" w:before="360"/>
      </w:pPr>
      <w:r>
        <w:rPr>
          <w:rFonts w:ascii="Arial" w:cs="Arial" w:eastAsia="Arial" w:hAnsi="Arial"/>
          <w:b/>
          <w:bCs/>
          <w:sz w:val="36"/>
          <w:szCs w:val="36"/>
        </w:rPr>
        <w:t xml:space="preserve">Foundational Law XVII: The Substitution-Cascade Law</w:t>
      </w:r>
    </w:p>
    <w:p>
      <w:pPr>
        <w:spacing w:after="160" w:line="300"/>
      </w:pPr>
      <w:r>
        <w:rPr>
          <w:rFonts w:ascii="Arial" w:cs="Arial" w:eastAsia="Arial" w:hAnsi="Arial"/>
          <w:b w:val="false"/>
          <w:bCs w:val="false"/>
          <w:i w:val="false"/>
          <w:iCs w:val="false"/>
          <w:sz w:val="22"/>
          <w:szCs w:val="22"/>
        </w:rPr>
        <w:t xml:space="preserve">The seventeenth foundational law operates at the generational scale and addresses one of the most underdeveloped rows in the Periodic Table. Vol 5's preceding draft of the table named five Open Unknowns at Period 4 (Generational / Historical), and the third-axis test that produced this expansion identified the orientation-of-pursuit dimension as the operational frame the missing P4 laws were waiting for. The Substitution-Cascade Law names the generational transmission mechanism specific to idol-ward orientation: household idolatry transmits across generations through the patterns of substitution, in such a way that what one generation enthrones becomes the default the next generation must consciously dethrone, with the transmission operating asymmetrically — the enthroning requires only inheritance, the dethroning requires deliberate action.</w:t>
      </w:r>
    </w:p>
    <w:p>
      <w:pPr>
        <w:spacing w:after="160" w:line="300"/>
      </w:pPr>
      <w:r>
        <w:rPr>
          <w:rFonts w:ascii="Arial" w:cs="Arial" w:eastAsia="Arial" w:hAnsi="Arial"/>
          <w:b w:val="false"/>
          <w:bCs w:val="false"/>
          <w:i w:val="false"/>
          <w:iCs w:val="false"/>
          <w:sz w:val="22"/>
          <w:szCs w:val="22"/>
        </w:rPr>
        <w:t xml:space="preserve">The asymmetry is the operational core of the law and the structural reason it requires its own statement rather than being absorbed into a more general Generational Transmission framing. A child forms her orientation in part by absorbing the family's enthroned Objects before she has the cognitive equipment to evaluate them; the defaults inherited are presumed to be the real, and the work of dethroning the inherited defaults is the work of recognizing as default what was absorbed as real. The law operates whether the parent intends the transmission or not, whether the parent is aware of the enthroned Object or not, whether the parent would endorse the transmission on reflection or not. The transmission is structural rather than intentional, and the asymmetric requirement for dethroning is what makes the dynamic so persistent across the Deuteronomic narrative and the prophetic literature.</w:t>
      </w:r>
    </w:p>
    <w:p>
      <w:pPr>
        <w:spacing w:after="160" w:line="300"/>
      </w:pPr>
      <w:r>
        <w:rPr>
          <w:rFonts w:ascii="Arial" w:cs="Arial" w:eastAsia="Arial" w:hAnsi="Arial"/>
          <w:b w:val="false"/>
          <w:bCs w:val="false"/>
          <w:i w:val="false"/>
          <w:iCs w:val="false"/>
          <w:sz w:val="22"/>
          <w:szCs w:val="22"/>
        </w:rPr>
        <w:t xml:space="preserve">The law completes the P4/GII (Heart, Generational) cell as the idol-ward face of the territory the still-Open Household Formation Law occupies on the God-ward side. The third-axis test established that the two laws together are the bidirectional treatment of P4/GII: Household Formation names the God-ward transmission mechanism (the Shema's "teach them diligently"); the Substitution-Cascade Law names the idol-ward transmission mechanism (the enthroned defaults that transmit without explicit teaching). The Household Formation Law remains an Open Unknown pending its full articulation; the Substitution-Cascade Law is named here.</w:t>
      </w:r>
    </w:p>
    <w:p>
      <w:pPr>
        <w:pStyle w:val="Heading2"/>
        <w:spacing w:after="160" w:before="240"/>
      </w:pPr>
      <w:r>
        <w:rPr>
          <w:rFonts w:ascii="Arial" w:cs="Arial" w:eastAsia="Arial" w:hAnsi="Arial"/>
          <w:b/>
          <w:bCs/>
          <w:sz w:val="30"/>
          <w:szCs w:val="30"/>
        </w:rPr>
        <w:t xml:space="preserve">The Scriptural Ground</w:t>
      </w:r>
    </w:p>
    <w:p>
      <w:pPr>
        <w:spacing w:after="160" w:line="300"/>
      </w:pPr>
      <w:r>
        <w:rPr>
          <w:rFonts w:ascii="Arial" w:cs="Arial" w:eastAsia="Arial" w:hAnsi="Arial"/>
          <w:b w:val="false"/>
          <w:bCs w:val="false"/>
          <w:i w:val="false"/>
          <w:iCs w:val="false"/>
          <w:sz w:val="22"/>
          <w:szCs w:val="22"/>
        </w:rPr>
        <w:t xml:space="preserve">The generational-transmission-of-idolatry dynamic is named across both Testaments by at least four biblical authors, with the asymmetric-transmission feature named most directly in the Decalogue's foundational statement and demonstrated narratively across the Deuteronomic history.</w:t>
      </w:r>
    </w:p>
    <w:p>
      <w:pPr>
        <w:spacing w:after="160" w:line="300"/>
      </w:pPr>
      <w:r>
        <w:rPr>
          <w:rFonts w:ascii="Arial" w:cs="Arial" w:eastAsia="Arial" w:hAnsi="Arial"/>
          <w:b w:val="false"/>
          <w:bCs w:val="false"/>
          <w:i w:val="false"/>
          <w:iCs w:val="false"/>
          <w:sz w:val="22"/>
          <w:szCs w:val="22"/>
        </w:rPr>
        <w:t xml:space="preserve">Exod. 20:5–6 (Moses, ESV): "You shall not bow down to them or serve them, for I the Lord your God am a jealous God, visiting the iniquity of the fathers on the children to the third and the fourth generation of those who hate me, but showing steadfast love to thousands of those who love me and keep my commandments." The clause's structure names both the transmission dynamic and the asymmetry. The iniquity transmits to the third and the fourth generation; the </w:t>
      </w:r>
      <w:r>
        <w:rPr>
          <w:rFonts w:ascii="Arial" w:cs="Arial" w:eastAsia="Arial" w:hAnsi="Arial"/>
          <w:b w:val="false"/>
          <w:bCs w:val="false"/>
          <w:i/>
          <w:iCs/>
          <w:sz w:val="22"/>
          <w:szCs w:val="22"/>
        </w:rPr>
        <w:t xml:space="preserve">chesed</w:t>
      </w:r>
      <w:r>
        <w:rPr>
          <w:rFonts w:ascii="Arial" w:cs="Arial" w:eastAsia="Arial" w:hAnsi="Arial"/>
          <w:b w:val="false"/>
          <w:bCs w:val="false"/>
          <w:i w:val="false"/>
          <w:iCs w:val="false"/>
          <w:sz w:val="22"/>
          <w:szCs w:val="22"/>
        </w:rPr>
        <w:t xml:space="preserve"> extends to thousands. The two transmissions are not symmetric in scale; the second-commandment block is naming the asymmetric character of the dynamic the law identifies. The clause is repeated in Deut. 5:9–10 in the second Decalogue statement; the doubling indicates the structural importance of the asymmetry to the law's substance.</w:t>
      </w:r>
    </w:p>
    <w:p>
      <w:pPr>
        <w:spacing w:after="160" w:line="300"/>
      </w:pPr>
      <w:r>
        <w:rPr>
          <w:rFonts w:ascii="Arial" w:cs="Arial" w:eastAsia="Arial" w:hAnsi="Arial"/>
          <w:b w:val="false"/>
          <w:bCs w:val="false"/>
          <w:i w:val="false"/>
          <w:iCs w:val="false"/>
          <w:sz w:val="22"/>
          <w:szCs w:val="22"/>
        </w:rPr>
        <w:t xml:space="preserve">Judges 2:10–13 (the Deuteronomic historian, ESV): "And all that generation also were gathered to their fathers. And there arose another generation after them who did not know the Lord or the work that he had done for Israel. And the people of Israel did what was evil in the sight of the Lord and served the Baals. And they abandoned the Lord, the God of their fathers… they went after other gods, from among the gods of the peoples who were around them, and bowed down to them." The Judges text is the narrative form of the law's operation across a single generational transition. The first generation knew the Lord and the works; the second generation did not; the not-knowing produces the served-the-Baals trajectory; the served-the-Baals trajectory produces the abandonment of the God of the fathers. The mechanism in the narrative is the failure of transmission of the God-ward content combined with the inherited cultural Object (the gods of the peoples around them) becoming the default the second generation defaulted into without recognizing it as a default. The text does not assign moral culpability to the second generation for the inheritance; it does assign moral culpability to the second generation for the going-after.</w:t>
      </w:r>
    </w:p>
    <w:p>
      <w:pPr>
        <w:spacing w:after="160" w:line="300"/>
      </w:pPr>
      <w:r>
        <w:rPr>
          <w:rFonts w:ascii="Arial" w:cs="Arial" w:eastAsia="Arial" w:hAnsi="Arial"/>
          <w:b w:val="false"/>
          <w:bCs w:val="false"/>
          <w:i w:val="false"/>
          <w:iCs w:val="false"/>
          <w:sz w:val="22"/>
          <w:szCs w:val="22"/>
        </w:rPr>
        <w:t xml:space="preserve">1 Kings 11:1–8 followed by 12:25–33 (the Deuteronomic historian, ESV) demonstrates the law's operation across a household-to-nation transition. Solomon's foreign-wife idolatry — the high places he builds for Chemosh and Molech and the rest, set up to please his wives — establishes a household pattern of idol-toleration. The pattern transmits structurally: Jeroboam, who became king of the northern kingdom under different political circumstances than Solomon's, nonetheless reaches for the same instinct when faced with the political problem of keeping his people from going up to Jerusalem to worship — and he reaches it specifically by setting up the calves at Bethel and Dan (12:28–30). The narrative does not suggest Jeroboam consciously copied Solomon's pattern; the suggestion is structural — the same kind of mistake, made in the same kind of way, by a leader operating in the cultural-religious matrix Solomon's pattern had helped establish. The cascade operates without anyone explicitly transmitting it.</w:t>
      </w:r>
    </w:p>
    <w:p>
      <w:pPr>
        <w:spacing w:after="160" w:line="300"/>
      </w:pPr>
      <w:r>
        <w:rPr>
          <w:rFonts w:ascii="Arial" w:cs="Arial" w:eastAsia="Arial" w:hAnsi="Arial"/>
          <w:b w:val="false"/>
          <w:bCs w:val="false"/>
          <w:i w:val="false"/>
          <w:iCs w:val="false"/>
          <w:sz w:val="22"/>
          <w:szCs w:val="22"/>
        </w:rPr>
        <w:t xml:space="preserve">Jer. 9:13–14 (Jeremiah, ESV): "And the Lord says: 'Because they have forsaken my law that I set before them, and have not obeyed my voice or walked in accord with it, but have stubbornly followed their own hearts and have gone after the Baals, as their fathers taught them.'" The phrase </w:t>
      </w:r>
      <w:r>
        <w:rPr>
          <w:rFonts w:ascii="Arial" w:cs="Arial" w:eastAsia="Arial" w:hAnsi="Arial"/>
          <w:b w:val="false"/>
          <w:bCs w:val="false"/>
          <w:i/>
          <w:iCs/>
          <w:sz w:val="22"/>
          <w:szCs w:val="22"/>
        </w:rPr>
        <w:t xml:space="preserve">as their fathers taught them</w:t>
      </w:r>
      <w:r>
        <w:rPr>
          <w:rFonts w:ascii="Arial" w:cs="Arial" w:eastAsia="Arial" w:hAnsi="Arial"/>
          <w:b w:val="false"/>
          <w:bCs w:val="false"/>
          <w:i w:val="false"/>
          <w:iCs w:val="false"/>
          <w:sz w:val="22"/>
          <w:szCs w:val="22"/>
        </w:rPr>
        <w:t xml:space="preserve"> names the transmission mechanism explicitly. The fathers' teaching is not portrayed as explicit doctrinal instruction in Baal-worship; the teaching is the structural transmission of the pattern, the modeling of which Object commands the family's orientation. Jer. 16:11 (ESV) restates the same pattern: "Because your fathers have forsaken me, declares the Lord, and have gone after other gods and have served and worshiped them, and have forsaken me and have not kept my law…" The transmission moves from the fathers to the present generation as a continuous trajectory; the present generation's idolatry is named as the continuation of the fathers' rather than as an independent failure.</w:t>
      </w:r>
    </w:p>
    <w:p>
      <w:pPr>
        <w:spacing w:after="160" w:line="300"/>
      </w:pPr>
      <w:r>
        <w:rPr>
          <w:rFonts w:ascii="Arial" w:cs="Arial" w:eastAsia="Arial" w:hAnsi="Arial"/>
          <w:b w:val="false"/>
          <w:bCs w:val="false"/>
          <w:i w:val="false"/>
          <w:iCs w:val="false"/>
          <w:sz w:val="22"/>
          <w:szCs w:val="22"/>
        </w:rPr>
        <w:t xml:space="preserve">Ezek. 20:18 (Ezekiel, ESV): "And I said to their children in the wilderness, 'Do not walk in the statutes of your fathers, nor keep their rules, nor defile yourselves with their idols.'" Ezekiel names the dynamic from the opposite direction: the second-generation address from the Lord that explicitly addresses the children of the idol-worshiping fathers and instructs the dethroning. The instruction's existence is itself evidence of the law: if the inherited defaults transmitted symmetrically with the God-ward content, no special instruction to the children would be needed — they would receive both equally. The Ezekiel text confirms the asymmetry by addressing it.</w:t>
      </w:r>
    </w:p>
    <w:p>
      <w:pPr>
        <w:spacing w:after="160" w:line="300"/>
      </w:pPr>
      <w:r>
        <w:rPr>
          <w:rFonts w:ascii="Arial" w:cs="Arial" w:eastAsia="Arial" w:hAnsi="Arial"/>
          <w:b w:val="false"/>
          <w:bCs w:val="false"/>
          <w:i w:val="false"/>
          <w:iCs w:val="false"/>
          <w:sz w:val="22"/>
          <w:szCs w:val="22"/>
        </w:rPr>
        <w:t xml:space="preserve">2 Tim. 1:5 (Paul, ESV): "I am reminded of your sincere faith, a faith that dwelt first in your grandmother Lois and your mother Eunice and now, I am sure, dwells in you as well." The Pauline text names the same kind of generational transmission operating in the inverse direction — from Lois to Eunice to Timothy, three generations of sincere faith. The Pauline text is included in the scriptural ground for this law because it confirms the underlying dynamic (multi-generational transmission of orientation), with the inverse direction operating equally as a real transmission — though Section 3 of the Mechanism notes that the inverse God-ward transmission is not automatic in the same structural way the idol-ward transmission is.</w:t>
      </w:r>
    </w:p>
    <w:p>
      <w:pPr>
        <w:pStyle w:val="Heading2"/>
        <w:spacing w:after="160" w:before="240"/>
      </w:pPr>
      <w:r>
        <w:rPr>
          <w:rFonts w:ascii="Arial" w:cs="Arial" w:eastAsia="Arial" w:hAnsi="Arial"/>
          <w:b/>
          <w:bCs/>
          <w:sz w:val="30"/>
          <w:szCs w:val="30"/>
        </w:rPr>
        <w:t xml:space="preserve">The Mechanism</w:t>
      </w:r>
    </w:p>
    <w:p>
      <w:pPr>
        <w:spacing w:after="160" w:line="300"/>
      </w:pPr>
      <w:r>
        <w:rPr>
          <w:rFonts w:ascii="Arial" w:cs="Arial" w:eastAsia="Arial" w:hAnsi="Arial"/>
          <w:b w:val="false"/>
          <w:bCs w:val="false"/>
          <w:i w:val="false"/>
          <w:iCs w:val="false"/>
          <w:sz w:val="22"/>
          <w:szCs w:val="22"/>
        </w:rPr>
        <w:t xml:space="preserve">Three features of how the law operates.</w:t>
      </w:r>
    </w:p>
    <w:p>
      <w:pPr>
        <w:spacing w:after="160" w:line="300"/>
      </w:pPr>
      <w:r>
        <w:rPr>
          <w:rFonts w:ascii="Arial" w:cs="Arial" w:eastAsia="Arial" w:hAnsi="Arial"/>
          <w:b w:val="false"/>
          <w:bCs w:val="false"/>
          <w:i w:val="false"/>
          <w:iCs w:val="false"/>
          <w:sz w:val="22"/>
          <w:szCs w:val="22"/>
        </w:rPr>
        <w:t xml:space="preserve">First, the transmission is structural rather than intentional. The child absorbs the family's enthroned Objects through observation, imitation, and the formation of cognitive defaults during the years before the cognitive equipment for evaluation is fully developed. The parent does not have to intend the transmission for the transmission to occur; the parent's enthroned Object is part of the family's operating reality from the child's earliest awareness, and the child's developing sense of </w:t>
      </w:r>
      <w:r>
        <w:rPr>
          <w:rFonts w:ascii="Arial" w:cs="Arial" w:eastAsia="Arial" w:hAnsi="Arial"/>
          <w:b w:val="false"/>
          <w:bCs w:val="false"/>
          <w:i/>
          <w:iCs/>
          <w:sz w:val="22"/>
          <w:szCs w:val="22"/>
        </w:rPr>
        <w:t xml:space="preserve">what is real</w:t>
      </w:r>
      <w:r>
        <w:rPr>
          <w:rFonts w:ascii="Arial" w:cs="Arial" w:eastAsia="Arial" w:hAnsi="Arial"/>
          <w:b w:val="false"/>
          <w:bCs w:val="false"/>
          <w:i w:val="false"/>
          <w:iCs w:val="false"/>
          <w:sz w:val="22"/>
          <w:szCs w:val="22"/>
        </w:rPr>
        <w:t xml:space="preserve"> incorporates the family's enthroned Object as a feature of </w:t>
      </w:r>
      <w:r>
        <w:rPr>
          <w:rFonts w:ascii="Arial" w:cs="Arial" w:eastAsia="Arial" w:hAnsi="Arial"/>
          <w:b w:val="false"/>
          <w:bCs w:val="false"/>
          <w:i/>
          <w:iCs/>
          <w:sz w:val="22"/>
          <w:szCs w:val="22"/>
        </w:rPr>
        <w:t xml:space="preserve">what is real</w:t>
      </w:r>
      <w:r>
        <w:rPr>
          <w:rFonts w:ascii="Arial" w:cs="Arial" w:eastAsia="Arial" w:hAnsi="Arial"/>
          <w:b w:val="false"/>
          <w:bCs w:val="false"/>
          <w:i w:val="false"/>
          <w:iCs w:val="false"/>
          <w:sz w:val="22"/>
          <w:szCs w:val="22"/>
        </w:rPr>
        <w:t xml:space="preserve"> in the same way it incorporates the family's language, food culture, and emotional repertoire. The mechanism is what developmental psychology recognizes as the implicit-learning channel; the moral content of the implicit-learning channel is what the law names as transmissible by inheritance.</w:t>
      </w:r>
    </w:p>
    <w:p>
      <w:pPr>
        <w:spacing w:after="160" w:line="300"/>
      </w:pPr>
      <w:r>
        <w:rPr>
          <w:rFonts w:ascii="Arial" w:cs="Arial" w:eastAsia="Arial" w:hAnsi="Arial"/>
          <w:b w:val="false"/>
          <w:bCs w:val="false"/>
          <w:i w:val="false"/>
          <w:iCs w:val="false"/>
          <w:sz w:val="22"/>
          <w:szCs w:val="22"/>
        </w:rPr>
        <w:t xml:space="preserve">Second, the asymmetry between idol-ward transmission and God-ward transmission is structural. The idol-ward transmission operates by default — the inherited Objects are presumed real because they constituted reality from the child's earliest awareness, and the work of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defaulting to them requires deliberate recognition that they are defaults rather than realities. The God-ward transmission does not operate by default in the same way. The Shema's "teach them diligently to your children" structure (Deut. 6:7) is necessary because the God-ward content does not transmit by ambient cultural presence the way the idol-ward content does — the God-ward content requires deliberate teaching, sustained modeling, and explicit naming. Ezekiel's address to the children of idol-worshiping fathers (Ezek. 20:18) is necessary because the children would not by themselves recognize the inherited defaults as defaults; the explicit address is the mechanism by which the asymmetry is overcome. The asymmetry is what makes the law's transmission so persistent across the Deuteronomic narrative: the idol-ward pattern is the path of least cognitive resistance for the child, and the God-ward pattern requires the deliberate work the law's God-ward counterpart (the Open Household Formation Law at P4/GII) describes.</w:t>
      </w:r>
    </w:p>
    <w:p>
      <w:pPr>
        <w:spacing w:after="160" w:line="300"/>
      </w:pPr>
      <w:r>
        <w:rPr>
          <w:rFonts w:ascii="Arial" w:cs="Arial" w:eastAsia="Arial" w:hAnsi="Arial"/>
          <w:b w:val="false"/>
          <w:bCs w:val="false"/>
          <w:i w:val="false"/>
          <w:iCs w:val="false"/>
          <w:sz w:val="22"/>
          <w:szCs w:val="22"/>
        </w:rPr>
        <w:t xml:space="preserve">Third, the cascade compounds across generations rather than diminishing. The third-and-fourth-generation clause of the second commandment names the dynamic's temporal scope: idolatry transmitted across one generation tends to be transmitted across the next, and the transmission compounds rather than diminishing under normal conditions. The compounding is broken by deliberate intervention — the reformer-king who tears down the high places, the prophet whose specific address constitutes the explicit-address mechanism the cascade requires, the household in which the transmission is interrupted by a conscious dethroning. Without intervention, the cascade continues. The fourth-generation limit in the second-commandment text is sometimes read as a divine limit on the cascade rather than as a description of the cascade's natural reach; the corpus does not adjudicate between these readings but notes that scripture's narrative presentation of the dynamic shows the cascade running multiple generations and being broken by external intervention rather than by natural exhaustion.</w:t>
      </w:r>
    </w:p>
    <w:p>
      <w:pPr>
        <w:pStyle w:val="Heading2"/>
        <w:spacing w:after="160" w:before="240"/>
      </w:pPr>
      <w:r>
        <w:rPr>
          <w:rFonts w:ascii="Arial" w:cs="Arial" w:eastAsia="Arial" w:hAnsi="Arial"/>
          <w:b/>
          <w:bCs/>
          <w:sz w:val="30"/>
          <w:szCs w:val="30"/>
        </w:rPr>
        <w:t xml:space="preserve">Why This Is a Foundational Law</w:t>
      </w:r>
    </w:p>
    <w:p>
      <w:pPr>
        <w:spacing w:after="160" w:line="300"/>
      </w:pPr>
      <w:r>
        <w:rPr>
          <w:rFonts w:ascii="Arial" w:cs="Arial" w:eastAsia="Arial" w:hAnsi="Arial"/>
          <w:b w:val="false"/>
          <w:bCs w:val="false"/>
          <w:i w:val="false"/>
          <w:iCs w:val="false"/>
          <w:sz w:val="22"/>
          <w:szCs w:val="22"/>
        </w:rPr>
        <w:t xml:space="preserve">Multi-author scriptural support is strong. The witnesses span at least four biblical authors — Moses (Decalogue), the Deuteronomic historian (Judges, 1 Kings), Jeremiah, and Ezekiel — across both Testaments and the registers of foundational legal statement, historical narrative, prophetic indictment, and prophetic instruction, with corroborating treatment in the Pauline texts for the inverse direction. The directional structure is uncontested across mainstream Christian traditions on the operational dynamic, with characteristic differences in the metaphysical framing. The Reformed tradition holds the dynamic under federal-headship and covenantal-transmission categories; the Catholic tradition under the social character of sin and the transmissibility of disordered loves through the family; the Wesleyan tradition under the inherited corruption that prevenient grace begins to release; the Orthodox tradition under the ancestral-sin framing of inherited spiritual conditions. The operational claim — that idol-ward orientation transmits across generations through the implicit-learning channel and requires deliberate intervention to interrupt — is held in common.</w:t>
      </w:r>
    </w:p>
    <w:p>
      <w:pPr>
        <w:spacing w:after="160" w:line="300"/>
      </w:pPr>
      <w:r>
        <w:rPr>
          <w:rFonts w:ascii="Arial" w:cs="Arial" w:eastAsia="Arial" w:hAnsi="Arial"/>
          <w:b w:val="false"/>
          <w:bCs w:val="false"/>
          <w:i w:val="false"/>
          <w:iCs w:val="false"/>
          <w:sz w:val="22"/>
          <w:szCs w:val="22"/>
        </w:rPr>
        <w:t xml:space="preserve">Testability in the natural is well-documented under the developmental-psychology vocabulary of implicit learning, family-systems vocabulary of trans-generational pattern, and the pastoral and counseling literatures on generational family-of-origin work. The cross-disciplinary recognition of the dynamic, under different framings, confirms its operational reality. The pastoral counseling experience that the work of dethroning an inherited family idol is qualitatively different from the work of dethroning a personally-acquired one is operational evidence of the asymmetric-transmission feature the law names.</w:t>
      </w:r>
    </w:p>
    <w:p>
      <w:pPr>
        <w:spacing w:after="160" w:line="300"/>
      </w:pPr>
      <w:r>
        <w:rPr>
          <w:rFonts w:ascii="Arial" w:cs="Arial" w:eastAsia="Arial" w:hAnsi="Arial"/>
          <w:b w:val="false"/>
          <w:bCs w:val="false"/>
          <w:i w:val="false"/>
          <w:iCs w:val="false"/>
          <w:sz w:val="22"/>
          <w:szCs w:val="22"/>
        </w:rPr>
        <w:t xml:space="preserve">The law belongs in the catalog as the idol-ward face of the territory the still-Open Household Formation Law occupies on the God-ward side. The two laws together complete the bidirectional treatment of the P4/GII cell. The Substitution-Cascade Law's articulation here is the natural consequence of the third-axis test that established orientation-of-pursuit as the operational dimension threading the table; the test's first-table-of-the-Decalogue anchor (Exod. 20:3–11) is the same passage in which the second commandment's asymmetric-transmission clause (Exod. 20:5–6) sits, and the law's articulation here is the corpus's recognition that the second commandment's transmission clause is itself the scriptural ground of the generational-orientation law the table has been awaiting at P4/GII.</w:t>
      </w:r>
    </w:p>
    <w:p>
      <w:pPr>
        <w:spacing w:after="160" w:line="300"/>
      </w:pPr>
      <w:r>
        <w:rPr>
          <w:rFonts w:ascii="Arial" w:cs="Arial" w:eastAsia="Arial" w:hAnsi="Arial"/>
          <w:b/>
          <w:bCs/>
          <w:i w:val="false"/>
          <w:iCs w:val="false"/>
          <w:sz w:val="22"/>
          <w:szCs w:val="22"/>
        </w:rPr>
        <w:t xml:space="preserve">Proposed Law (Operational Law of Wide Consent): Household idolatry transmits across generations through the implicit-learning channel of family culture, in such a way that what one generation enthrones becomes the default the next generation absorbs as part of the family's operating reality (Exod. 20:5–6; Jer. 9:13–14; Ezek. 20:18). The transmission operates asymmetrically with respect to its inverse: the enthroning of the inherited Objects requires only inheritance, while the dethroning of the inherited Objects requires deliberate recognition that they are defaults rather than realities, explicit address (Ezek. 20:18), and the formation work the God-ward Household Formation Law describes. The cascade compounds across generations under normal conditions and is broken by external intervention — the reformer's tearing-down, the prophet's specific address, the conscious dethroning of the inherited pattern in a particular household — rather than by natural exhaustion. The inverse God-ward generational transmission (Lois → Eunice → Timothy, 2 Tim. 1:5) operates as a real transmission but not by the same structural default; the God-ward transmission requires the deliberate teaching, sustained modeling, and explicit naming that the still-Open Household Formation Law at P4/GII will describe in full when articulated. Operates at the generational scale (Period 4), in the Heart column (Group II), with horizontal expression (the cascade traverses the relational structure of family across time). Pairs with the still-Open Household Formation Law at P4/GII as its structural counterpart. Pairs upstream with FL.III Heart-Throne at P1/GII (the individual-scale law whose generational form this law describes) and with FL.XIV Vanity-of-Substitutes at P1/GII (the structural failure of the inherited substitutes, which becomes visible to the second or third generation as the cumulative cascade discloses).</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Substitution-Cascade Law's God-ward face is the still-Open Household Formation Law at P4/GII — the Shema's "teach them diligently to your children" structure, the Lois-Eunice-Timothy transmission of sincere faith, the deliberate household-formation work that interrupts the idol-ward cascade by establishing the God-ward content with the explicit work the asymmetric-transmission dynamic requires. The two laws together cover the bidirectional whole of the P4/GII Heart-Generational cell; the corpus reserves the Household Formation Law's full articulation for a future revision pending the priority-research work that the Six Priority Open Unknowns names.</w:t>
      </w:r>
    </w:p>
    <w:p>
      <w:pPr>
        <w:spacing w:after="160" w:line="300"/>
      </w:pPr>
      <w:r>
        <w:rPr>
          <w:rFonts w:ascii="Arial" w:cs="Arial" w:eastAsia="Arial" w:hAnsi="Arial"/>
          <w:b/>
          <w:bCs/>
          <w:i/>
          <w:iCs/>
          <w:sz w:val="22"/>
          <w:szCs w:val="22"/>
        </w:rPr>
        <w:t xml:space="preserve">Certainty: Clearly Taught for the operational dynamic. Reasonably Inferred for the mechanism's full theological substrate.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Multi-author scriptural support is strong (four biblical authors across both Testaments, with the most direct statement at Exod. 20:5–6 carrying the asymmetric-transmission clause explicitly). Broad acceptance is uncontested across mainstream Christian traditions on the operational dynamic, with theological differences in the metaphysical framing (federal-headship, social-character-of-sin, inherited-corruption, ancestral-sin) that affect the description of the mechanism's substrate without affecting the operational claim. Observable testability is well-documented across developmental psychology, family-systems work, and pastoral counseling, under different vocabularies. The Speculative remaining uncertainty concerns the precise relationship between the law's operational claim and the inherited-corruption doctrine in its strong forms — the corpus's articulation operates at the level the operational dynamic all mainstream traditions hold in common, and does not depend on resolving the doctrinal differences. The Speculative remaining uncertainty also concerns the fourth-generation limit clause of Exod. 20:5: whether the limit is a divine restraint on the cascade or a description of its natural reach is reserved for future revision.</w:t>
      </w:r>
    </w:p>
    <w:p>
      <w:pPr>
        <w:spacing w:after="160" w:line="300"/>
      </w:pPr>
      <w:r>
        <w:rPr>
          <w:rFonts w:ascii="Arial" w:cs="Arial" w:eastAsia="Arial" w:hAnsi="Arial"/>
          <w:b/>
          <w:bCs/>
          <w:i w:val="false"/>
          <w:iCs w:val="false"/>
          <w:sz w:val="22"/>
          <w:szCs w:val="22"/>
        </w:rPr>
        <w:t xml:space="preserve">Conclusion of the Seventeen Foundational Laws</w:t>
      </w:r>
    </w:p>
    <w:p>
      <w:r>
        <w:br w:type="page"/>
      </w:r>
    </w:p>
    <w:p>
      <w:pPr>
        <w:spacing w:after="720" w:before="1440"/>
        <w:jc w:val="center"/>
      </w:pPr>
      <w:r>
        <w:rPr>
          <w:rFonts w:ascii="Arial" w:cs="Arial" w:eastAsia="Arial" w:hAnsi="Arial"/>
          <w:b/>
          <w:bCs/>
          <w:sz w:val="40"/>
          <w:szCs w:val="40"/>
        </w:rPr>
        <w:t xml:space="preserve">Section 2 — Cross-Reference Additions to Existing FL Chapters</w:t>
      </w:r>
    </w:p>
    <w:p>
      <w:pPr>
        <w:pBdr>
          <w:bottom w:val="single" w:color="333333" w:sz="12" w:space="1"/>
        </w:pBdr>
        <w:spacing w:after="480"/>
      </w:pPr>
      <w:r>
        <w:rPr>
          <w:rFonts w:ascii="Arial" w:cs="Arial" w:eastAsia="Arial" w:hAnsi="Arial"/>
          <w:sz w:val="22"/>
          <w:szCs w:val="22"/>
        </w:rPr>
        <w:t xml:space="preserve"/>
      </w:r>
    </w:p>
    <w:p>
      <w:pPr>
        <w:pStyle w:val="Heading1"/>
        <w:spacing w:after="240" w:before="360"/>
      </w:pPr>
      <w:r>
        <w:rPr>
          <w:rFonts w:ascii="Arial" w:cs="Arial" w:eastAsia="Arial" w:hAnsi="Arial"/>
          <w:b/>
          <w:bCs/>
          <w:sz w:val="36"/>
          <w:szCs w:val="36"/>
        </w:rPr>
        <w:t xml:space="preserve">Cross-Reference Additions to Existing Foundational Law Chapters</w:t>
      </w:r>
    </w:p>
    <w:p>
      <w:pPr>
        <w:spacing w:after="160" w:line="300"/>
      </w:pPr>
      <w:r>
        <w:rPr>
          <w:rFonts w:ascii="Arial" w:cs="Arial" w:eastAsia="Arial" w:hAnsi="Arial"/>
          <w:b w:val="false"/>
          <w:bCs w:val="false"/>
          <w:i w:val="false"/>
          <w:iCs w:val="false"/>
          <w:sz w:val="22"/>
          <w:szCs w:val="22"/>
        </w:rPr>
        <w:t xml:space="preserve">The third-axis test produced four new Foundational Laws (FL.XIV–FL.XVII) that pair structurally with existing Foundational Laws. The pairings should be visible from both sides — when a reader is reading FL.VIII, the page should name the pairing with FL.XIV, and not only the reverse. This file specifies the cross-reference additions needed in three existing Foundational Law chapters.</w:t>
      </w:r>
    </w:p>
    <w:p>
      <w:pPr>
        <w:spacing w:after="160" w:line="300"/>
      </w:pPr>
      <w:r>
        <w:rPr>
          <w:rFonts w:ascii="Arial" w:cs="Arial" w:eastAsia="Arial" w:hAnsi="Arial"/>
          <w:b w:val="false"/>
          <w:bCs w:val="false"/>
          <w:i w:val="false"/>
          <w:iCs w:val="false"/>
          <w:sz w:val="22"/>
          <w:szCs w:val="22"/>
        </w:rPr>
        <w:t xml:space="preserve">The additions are small (a sentence or short paragraph each) and are placed at specific anchor locations in each chapter. Each addition is presented as: (1) the anchor — a distinctive substring in the existing chapter that locates where the addition goes; (2) the addition — the sentence(s) to insert.</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FL.III — The Heart-Throne Law</w:t>
      </w:r>
    </w:p>
    <w:p>
      <w:pPr>
        <w:spacing w:after="160" w:line="300"/>
      </w:pPr>
      <w:r>
        <w:rPr>
          <w:rFonts w:ascii="Arial" w:cs="Arial" w:eastAsia="Arial" w:hAnsi="Arial"/>
          <w:b/>
          <w:bCs/>
          <w:i w:val="false"/>
          <w:iCs w:val="false"/>
          <w:sz w:val="22"/>
          <w:szCs w:val="22"/>
        </w:rPr>
        <w:t xml:space="preserve">File:</w:t>
      </w:r>
      <w:r>
        <w:rPr>
          <w:rFonts w:ascii="Arial" w:cs="Arial" w:eastAsia="Arial" w:hAnsi="Arial"/>
          <w:b w:val="false"/>
          <w:bCs w:val="false"/>
          <w:i w:val="false"/>
          <w:iCs w:val="false"/>
          <w:sz w:val="22"/>
          <w:szCs w:val="22"/>
        </w:rPr>
        <w:t xml:space="preserve"> `volume-1-laws-of-the-spirit/foundational-law-iii-the-heart-throne-law/index.md` (or matching path)</w:t>
      </w:r>
    </w:p>
    <w:p>
      <w:pPr>
        <w:spacing w:after="160" w:line="300"/>
      </w:pPr>
      <w:r>
        <w:rPr>
          <w:rFonts w:ascii="Arial" w:cs="Arial" w:eastAsia="Arial" w:hAnsi="Arial"/>
          <w:b/>
          <w:bCs/>
          <w:i w:val="false"/>
          <w:iCs w:val="false"/>
          <w:sz w:val="22"/>
          <w:szCs w:val="22"/>
        </w:rPr>
        <w:t xml:space="preserve">Anchor location 1:</w:t>
      </w:r>
      <w:r>
        <w:rPr>
          <w:rFonts w:ascii="Arial" w:cs="Arial" w:eastAsia="Arial" w:hAnsi="Arial"/>
          <w:b w:val="false"/>
          <w:bCs w:val="false"/>
          <w:i w:val="false"/>
          <w:iCs w:val="false"/>
          <w:sz w:val="22"/>
          <w:szCs w:val="22"/>
        </w:rPr>
        <w:t xml:space="preserve"> In the "Why This Is a Foundational Law" section (or equivalent closing section), find the paragraph that names FL.III's pairings with FL.II Confession-Restoration and other existing laws. Add the following sentence at the end of that paragraph:</w:t>
      </w:r>
    </w:p>
    <w:p>
      <w:pPr>
        <w:pBdr>
          <w:left w:val="single" w:color="999999" w:sz="18" w:space="12"/>
        </w:pBdr>
        <w:spacing w:after="160" w:line="300"/>
        <w:ind w:left="720"/>
      </w:pPr>
      <w:r>
        <w:rPr>
          <w:rFonts w:ascii="Arial" w:cs="Arial" w:eastAsia="Arial" w:hAnsi="Arial"/>
          <w:b w:val="false"/>
          <w:bCs w:val="false"/>
          <w:i w:val="false"/>
          <w:iCs w:val="false"/>
          <w:sz w:val="22"/>
          <w:szCs w:val="22"/>
        </w:rPr>
        <w:t xml:space="preserve">The third-axis test (Vol 5 Periodic Table chapter) added two further pairings to the Heart-Throne Law's structural family: FL.XIV Vanity-of-Substitutes at P1/GII names the structural failure of every Object the heart enthrones in God's place — the operational consequence of the idolatry FL.III diagnoses — and FL.XVII Substitution-Cascade at P4/GII names the generational transmission of the inherited enthroned Objects, completing the individual-scale-to-generational-scale arc of the orientation-of-pursuit dimension in the Heart column.</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FL.VI — The Hear-and-Obey Blessing Law</w:t>
      </w:r>
    </w:p>
    <w:p>
      <w:pPr>
        <w:spacing w:after="160" w:line="300"/>
      </w:pPr>
      <w:r>
        <w:rPr>
          <w:rFonts w:ascii="Arial" w:cs="Arial" w:eastAsia="Arial" w:hAnsi="Arial"/>
          <w:b/>
          <w:bCs/>
          <w:i w:val="false"/>
          <w:iCs w:val="false"/>
          <w:sz w:val="22"/>
          <w:szCs w:val="22"/>
        </w:rPr>
        <w:t xml:space="preserve">File:</w:t>
      </w:r>
      <w:r>
        <w:rPr>
          <w:rFonts w:ascii="Arial" w:cs="Arial" w:eastAsia="Arial" w:hAnsi="Arial"/>
          <w:b w:val="false"/>
          <w:bCs w:val="false"/>
          <w:i w:val="false"/>
          <w:iCs w:val="false"/>
          <w:sz w:val="22"/>
          <w:szCs w:val="22"/>
        </w:rPr>
        <w:t xml:space="preserve"> `volume-1-laws-of-the-spirit/foundational-law-vi-the-hear-and-obey/index.md` (or matching path)</w:t>
      </w:r>
    </w:p>
    <w:p>
      <w:pPr>
        <w:spacing w:after="160" w:line="300"/>
      </w:pPr>
      <w:r>
        <w:rPr>
          <w:rFonts w:ascii="Arial" w:cs="Arial" w:eastAsia="Arial" w:hAnsi="Arial"/>
          <w:b/>
          <w:bCs/>
          <w:i w:val="false"/>
          <w:iCs w:val="false"/>
          <w:sz w:val="22"/>
          <w:szCs w:val="22"/>
        </w:rPr>
        <w:t xml:space="preserve">Anchor location:</w:t>
      </w:r>
      <w:r>
        <w:rPr>
          <w:rFonts w:ascii="Arial" w:cs="Arial" w:eastAsia="Arial" w:hAnsi="Arial"/>
          <w:b w:val="false"/>
          <w:bCs w:val="false"/>
          <w:i w:val="false"/>
          <w:iCs w:val="false"/>
          <w:sz w:val="22"/>
          <w:szCs w:val="22"/>
        </w:rPr>
        <w:t xml:space="preserve"> In the "Why This Is a Foundational Law" section (or equivalent closing section), find the paragraph that names FL.VI's structural features (its scale-invariance, its bidirectionality in the source texts). Add the following sentence at the end of that paragraph:</w:t>
      </w:r>
    </w:p>
    <w:p>
      <w:pPr>
        <w:pBdr>
          <w:left w:val="single" w:color="999999" w:sz="18" w:space="12"/>
        </w:pBdr>
        <w:spacing w:after="160" w:line="300"/>
        <w:ind w:left="720"/>
      </w:pPr>
      <w:r>
        <w:rPr>
          <w:rFonts w:ascii="Arial" w:cs="Arial" w:eastAsia="Arial" w:hAnsi="Arial"/>
          <w:b w:val="false"/>
          <w:bCs w:val="false"/>
          <w:i w:val="false"/>
          <w:iCs w:val="false"/>
          <w:sz w:val="22"/>
          <w:szCs w:val="22"/>
        </w:rPr>
        <w:t xml:space="preserve">The third-axis test (Vol 5 Periodic Table chapter) named the law's idol-ward counterpart explicitly: FL.XVI The Bondage Law at P0/GV is the same obedience-constitutes-state mechanism FL.VI describes, viewed from the other direction of pursuit — sustained obedience to sin's claim constitutes the obeyer as the slave of sin (Rom. 6:16), in the same structural way sustained obedience to God's word constitutes the obeyer in the blessedness and flourishing FL.VI names. The two laws together cover the bidirectional whole of the obedience-constitutes-state dynamic at the scale-invariant level.</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FL.VIII — The Desire-for-God Law</w:t>
      </w:r>
    </w:p>
    <w:p>
      <w:pPr>
        <w:spacing w:after="160" w:line="300"/>
      </w:pPr>
      <w:r>
        <w:rPr>
          <w:rFonts w:ascii="Arial" w:cs="Arial" w:eastAsia="Arial" w:hAnsi="Arial"/>
          <w:b/>
          <w:bCs/>
          <w:i w:val="false"/>
          <w:iCs w:val="false"/>
          <w:sz w:val="22"/>
          <w:szCs w:val="22"/>
        </w:rPr>
        <w:t xml:space="preserve">File:</w:t>
      </w:r>
      <w:r>
        <w:rPr>
          <w:rFonts w:ascii="Arial" w:cs="Arial" w:eastAsia="Arial" w:hAnsi="Arial"/>
          <w:b w:val="false"/>
          <w:bCs w:val="false"/>
          <w:i w:val="false"/>
          <w:iCs w:val="false"/>
          <w:sz w:val="22"/>
          <w:szCs w:val="22"/>
        </w:rPr>
        <w:t xml:space="preserve"> `volume-1-laws-of-the-spirit/foundational-law-viii-the-desire-for-god/index.md` (or matching path)</w:t>
      </w:r>
    </w:p>
    <w:p>
      <w:pPr>
        <w:spacing w:after="160" w:line="300"/>
      </w:pPr>
      <w:r>
        <w:rPr>
          <w:rFonts w:ascii="Arial" w:cs="Arial" w:eastAsia="Arial" w:hAnsi="Arial"/>
          <w:b/>
          <w:bCs/>
          <w:i w:val="false"/>
          <w:iCs w:val="false"/>
          <w:sz w:val="22"/>
          <w:szCs w:val="22"/>
        </w:rPr>
        <w:t xml:space="preserve">Anchor location 1:</w:t>
      </w:r>
      <w:r>
        <w:rPr>
          <w:rFonts w:ascii="Arial" w:cs="Arial" w:eastAsia="Arial" w:hAnsi="Arial"/>
          <w:b w:val="false"/>
          <w:bCs w:val="false"/>
          <w:i w:val="false"/>
          <w:iCs w:val="false"/>
          <w:sz w:val="22"/>
          <w:szCs w:val="22"/>
        </w:rPr>
        <w:t xml:space="preserve"> In the "Why This Is a Foundational Law" section, find the paragraph that names FL.VIII's pairings with FL.VII Drawing-Near, FL.III Heart-Throne, and FL.XIII Pure-Heart Vision. Add the following sentence at the end of that paragraph:</w:t>
      </w:r>
    </w:p>
    <w:p>
      <w:pPr>
        <w:pBdr>
          <w:left w:val="single" w:color="999999" w:sz="18" w:space="12"/>
        </w:pBdr>
        <w:spacing w:after="160" w:line="300"/>
        <w:ind w:left="720"/>
      </w:pPr>
      <w:r>
        <w:rPr>
          <w:rFonts w:ascii="Arial" w:cs="Arial" w:eastAsia="Arial" w:hAnsi="Arial"/>
          <w:b w:val="false"/>
          <w:bCs w:val="false"/>
          <w:i w:val="false"/>
          <w:iCs w:val="false"/>
          <w:sz w:val="22"/>
          <w:szCs w:val="22"/>
        </w:rPr>
        <w:t xml:space="preserve">The third-axis test (Vol 5 Periodic Table chapter) named the law's structural counterpart explicitly: FL.XIV The Vanity-of-Substitutes Law at P1/GII names the structural failure of every Object the heart attempts to fill the FL.VIII longing with. FL.VIII names the engine; FL.XIV names the structural failure of every alternative engine. The two laws together constitute the bidirectional treatment of the Heart-column orientation dimension at the individual scale, and answer the fifth-periodicity question this entry's Certainty rationale reserved for future revision — the designed-orientation pattern that FL.VIII flagged as a possible fifth periodicity is now visible in its full operational form as the FL.VIII / FL.XIV pair.</w:t>
      </w:r>
    </w:p>
    <w:p>
      <w:pPr>
        <w:spacing w:after="160" w:line="300"/>
      </w:pPr>
      <w:r>
        <w:rPr>
          <w:rFonts w:ascii="Arial" w:cs="Arial" w:eastAsia="Arial" w:hAnsi="Arial"/>
          <w:b/>
          <w:bCs/>
          <w:i w:val="false"/>
          <w:iCs w:val="false"/>
          <w:sz w:val="22"/>
          <w:szCs w:val="22"/>
        </w:rPr>
        <w:t xml:space="preserve">Anchor location 2:</w:t>
      </w:r>
      <w:r>
        <w:rPr>
          <w:rFonts w:ascii="Arial" w:cs="Arial" w:eastAsia="Arial" w:hAnsi="Arial"/>
          <w:b w:val="false"/>
          <w:bCs w:val="false"/>
          <w:i w:val="false"/>
          <w:iCs w:val="false"/>
          <w:sz w:val="22"/>
          <w:szCs w:val="22"/>
        </w:rPr>
        <w:t xml:space="preserve"> In the Certainty rationale at the close of the chapter (the italicized closing paragraph), find the sentence that names the fifth-periodicity speculative uncertainty (the one beginning "First, whether the law warrants naming a fifth periodicity..." or similar). After that sentence, add the following clause as a second sentence:</w:t>
      </w:r>
    </w:p>
    <w:p>
      <w:pPr>
        <w:pBdr>
          <w:left w:val="single" w:color="999999" w:sz="18" w:space="12"/>
        </w:pBdr>
        <w:spacing w:after="160" w:line="300"/>
        <w:ind w:left="720"/>
      </w:pPr>
      <w:r>
        <w:rPr>
          <w:rFonts w:ascii="Arial" w:cs="Arial" w:eastAsia="Arial" w:hAnsi="Arial"/>
          <w:b w:val="false"/>
          <w:bCs w:val="false"/>
          <w:i/>
          <w:iCs/>
          <w:sz w:val="22"/>
          <w:szCs w:val="22"/>
        </w:rPr>
        <w:t xml:space="preserve">The third-axis test that produced FL.XIV Vanity-of-Substitutes has provided a partial answer to this reservation: the designed-orientation pattern operates as a paired law structure (designed-for-X engine + structural-failure-of-every-non-X engine) rather than as a single law, and the fifth-periodicity question accordingly becomes whether the paired-structure pattern itself constitutes the fifth periodicity (creational-pointer with structural-failure-of-alternatives) — a question the corpus continues to reserve for future revision but that is now more sharply posed.</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Note on Other Existing Foundational Law Chapters</w:t>
      </w:r>
    </w:p>
    <w:p>
      <w:pPr>
        <w:spacing w:after="160" w:line="300"/>
      </w:pPr>
      <w:r>
        <w:rPr>
          <w:rFonts w:ascii="Arial" w:cs="Arial" w:eastAsia="Arial" w:hAnsi="Arial"/>
          <w:b w:val="false"/>
          <w:bCs w:val="false"/>
          <w:i w:val="false"/>
          <w:iCs w:val="false"/>
          <w:sz w:val="22"/>
          <w:szCs w:val="22"/>
        </w:rPr>
        <w:t xml:space="preserve">The remaining ten existing Foundational Laws (FL.I, II, IV, V, VII, IX, X, XI, XII, XIII) do not require cross-reference additions, because their pairing with new Foundational Laws is either indirect (FL.I, FL.IX have their idol-ward face named in the Mirror discipline rather than in a paired new law) or constitutive (FL.XIII Pure-Heart Vision's orientation content is already explicit, and the third-axis test's anchor in the first table of the Decalogue is named in the Vol 5 chapter prose rather than requiring a FL.XIII addition).</w:t>
      </w:r>
    </w:p>
    <w:p>
      <w:pPr>
        <w:spacing w:after="160" w:line="300"/>
      </w:pPr>
      <w:r>
        <w:rPr>
          <w:rFonts w:ascii="Arial" w:cs="Arial" w:eastAsia="Arial" w:hAnsi="Arial"/>
          <w:b w:val="false"/>
          <w:bCs w:val="false"/>
          <w:i w:val="false"/>
          <w:iCs w:val="false"/>
          <w:sz w:val="22"/>
          <w:szCs w:val="22"/>
        </w:rPr>
        <w:t xml:space="preserve">If a future revision identifies a fifth idol-ward Foundational Law that requires a new cross-reference, the same pattern applies: place the cross-reference sentence at the closing-section anchor, using the same form as the three additions above.</w:t>
      </w:r>
    </w:p>
    <w:p>
      <w:r>
        <w:br w:type="page"/>
      </w:r>
    </w:p>
    <w:p>
      <w:pPr>
        <w:spacing w:after="720" w:before="1440"/>
        <w:jc w:val="center"/>
      </w:pPr>
      <w:r>
        <w:rPr>
          <w:rFonts w:ascii="Arial" w:cs="Arial" w:eastAsia="Arial" w:hAnsi="Arial"/>
          <w:b/>
          <w:bCs/>
          <w:sz w:val="40"/>
          <w:szCs w:val="40"/>
        </w:rPr>
        <w:t xml:space="preserve">Section 3 — Volume 1 Foundational Laws Overview Replacement</w:t>
      </w:r>
    </w:p>
    <w:p>
      <w:pPr>
        <w:pBdr>
          <w:bottom w:val="single" w:color="333333" w:sz="12" w:space="1"/>
        </w:pBdr>
        <w:spacing w:after="480"/>
      </w:pPr>
      <w:r>
        <w:rPr>
          <w:rFonts w:ascii="Arial" w:cs="Arial" w:eastAsia="Arial" w:hAnsi="Arial"/>
          <w:sz w:val="22"/>
          <w:szCs w:val="22"/>
        </w:rPr>
        <w:t xml:space="preserve"/>
      </w:r>
    </w:p>
    <w:p>
      <w:pPr>
        <w:spacing w:after="240" w:line="300"/>
      </w:pPr>
      <w:r>
        <w:rPr>
          <w:rFonts w:ascii="Arial" w:cs="Arial" w:eastAsia="Arial" w:hAnsi="Arial"/>
          <w:sz w:val="22"/>
          <w:szCs w:val="22"/>
        </w:rPr>
        <w:t xml:space="preserve">The chapter below is a full replacement for the existing "Foundational Laws: Thirteen Operational Laws of Wide Consent" overview chapter in Volume 1. The chapter has been renamed to "Seventeen Operational Laws of Wide Consent" and updated to include the four new laws in the intro paragraphs, structural-observations section, and summary table. The file should also be renamed if the mkdocs URL is to reflect the count (current URL: foundational-laws-thirteen-operational-laws-of-wide; suggested new URL: foundational-laws-seventeen-operational-laws-of-wide). A redirect from the old URL is recommended for link continuity.</w:t>
      </w:r>
    </w:p>
    <w:p>
      <w:r>
        <w:br w:type="page"/>
      </w:r>
    </w:p>
    <w:p>
      <w:pPr>
        <w:spacing w:after="240"/>
        <w:jc w:val="right"/>
      </w:pPr>
      <w:r>
        <w:rPr>
          <w:rFonts w:ascii="Arial" w:cs="Arial" w:eastAsia="Arial" w:hAnsi="Arial"/>
          <w:i/>
          <w:iCs/>
          <w:sz w:val="20"/>
          <w:szCs w:val="20"/>
        </w:rPr>
        <w:t xml:space="preserve">File: foundational-laws-seventeen-operational-laws-of-wide.md</w:t>
      </w:r>
    </w:p>
    <w:p>
      <w:pPr>
        <w:pStyle w:val="Heading1"/>
        <w:spacing w:after="240" w:before="360"/>
      </w:pPr>
      <w:r>
        <w:rPr>
          <w:rFonts w:ascii="Arial" w:cs="Arial" w:eastAsia="Arial" w:hAnsi="Arial"/>
          <w:b/>
          <w:bCs/>
          <w:sz w:val="36"/>
          <w:szCs w:val="36"/>
        </w:rPr>
        <w:t xml:space="preserve">Foundational Laws: Seventeen Operational Laws of Wide Consent</w:t>
      </w:r>
    </w:p>
    <w:p>
      <w:pPr>
        <w:spacing w:after="160" w:line="300"/>
      </w:pPr>
      <w:r>
        <w:rPr>
          <w:rFonts w:ascii="Arial" w:cs="Arial" w:eastAsia="Arial" w:hAnsi="Arial"/>
          <w:b w:val="false"/>
          <w:bCs w:val="false"/>
          <w:i w:val="false"/>
          <w:iCs w:val="false"/>
          <w:sz w:val="22"/>
          <w:szCs w:val="22"/>
        </w:rPr>
        <w:t xml:space="preserve">Before I begin the personal explorations that make up the body of this volume, I want to set out seventeen operational laws that are already broadly accepted across mainstream Christian tradition. These are not my discoveries. They are the floor I am building on.</w:t>
      </w:r>
    </w:p>
    <w:p>
      <w:pPr>
        <w:spacing w:after="160" w:line="300"/>
      </w:pPr>
      <w:r>
        <w:rPr>
          <w:rFonts w:ascii="Arial" w:cs="Arial" w:eastAsia="Arial" w:hAnsi="Arial"/>
          <w:b w:val="false"/>
          <w:bCs w:val="false"/>
          <w:i w:val="false"/>
          <w:iCs w:val="false"/>
          <w:sz w:val="22"/>
          <w:szCs w:val="22"/>
        </w:rPr>
        <w:t xml:space="preserve">The Explorations that follow this section are my own investigations into territory I have found less well mapped: how faith is generated by hearing, what the structure of a person is, how the Fear of the Lord functions as a gateway, how prayer operates as a resonance phenomenon. Those are propositional claims in the Reasonably Inferred to Clearly Taught tiers. They need testing. The community has not yet weighed in.</w:t>
      </w:r>
    </w:p>
    <w:p>
      <w:pPr>
        <w:spacing w:after="160" w:line="300"/>
      </w:pPr>
      <w:r>
        <w:rPr>
          <w:rFonts w:ascii="Arial" w:cs="Arial" w:eastAsia="Arial" w:hAnsi="Arial"/>
          <w:b w:val="false"/>
          <w:bCs w:val="false"/>
          <w:i w:val="false"/>
          <w:iCs w:val="false"/>
          <w:sz w:val="22"/>
          <w:szCs w:val="22"/>
        </w:rPr>
        <w:t xml:space="preserve">The seventeen laws in this section are different. They have been weighed in on for two thousand years. Scripture states them with directional clarity, multiple authors across the Old and New Testaments witness to them, and every mainstream Christian tradition I am aware of accepts the directional relationship even where traditions differ on the mechanism or on the interpretation of the consequent. I am holding each of them in the Clearly Taught tier, with the single exception of FL.XVII Substitution-Cascade Law, whose operational dynamic is Clearly Taught but whose full mechanism substrate involves doctrinal differences that affect the mechanism's description (federal-headship, social-character-of-sin, inherited-corruption, ancestral-sin), and which is therefore held at Clearly-Taught-for-operational-dynamic / Reasonably-Inferred-for-substrate. Any residual uncertainty reflects the discipline of not claiming more than the texts plainly say.</w:t>
      </w:r>
    </w:p>
    <w:p>
      <w:pPr>
        <w:spacing w:after="160" w:line="300"/>
      </w:pPr>
      <w:r>
        <w:rPr>
          <w:rFonts w:ascii="Arial" w:cs="Arial" w:eastAsia="Arial" w:hAnsi="Arial"/>
          <w:b w:val="false"/>
          <w:bCs w:val="false"/>
          <w:i w:val="false"/>
          <w:iCs w:val="false"/>
          <w:sz w:val="22"/>
          <w:szCs w:val="22"/>
        </w:rPr>
        <w:t xml:space="preserve">Why begin here? Two reasons. First, grounding. If a reader is going to follow me into the more exploratory work in the Explorations, they should first see that the same investigative method I use there is applied to material everyone already accepts. If the method handles received laws cleanly, that builds the case for trusting it on the harder ones. Second, taxonomy. These seventeen are operational laws in the same sense as the Obedience Channel and Prayer Resonance are. Placing them first in the volume gives the Operational category an anchor at a confidence level that the Explorations cannot yet reach.</w:t>
      </w:r>
    </w:p>
    <w:p>
      <w:pPr>
        <w:spacing w:after="160" w:line="300"/>
      </w:pPr>
      <w:r>
        <w:rPr>
          <w:rFonts w:ascii="Arial" w:cs="Arial" w:eastAsia="Arial" w:hAnsi="Arial"/>
          <w:b w:val="false"/>
          <w:bCs w:val="false"/>
          <w:i w:val="false"/>
          <w:iCs w:val="false"/>
          <w:sz w:val="22"/>
          <w:szCs w:val="22"/>
        </w:rPr>
        <w:t xml:space="preserve">Each of the seventeen follows the same format as the Explorations: a Type tag, the Scriptural Ground, the Mechanism, the Proposed Law statement, and a Certainty rationale. The Type tag for these seventeen reads "Operational Law of Wide Consent" rather than "Operational Law" or "New Discovery" to distinguish them. They are received, not discovered.</w:t>
      </w:r>
    </w:p>
    <w:p>
      <w:pPr>
        <w:spacing w:after="160" w:line="300"/>
      </w:pPr>
      <w:r>
        <w:rPr>
          <w:rFonts w:ascii="Arial" w:cs="Arial" w:eastAsia="Arial" w:hAnsi="Arial"/>
          <w:b w:val="false"/>
          <w:bCs w:val="false"/>
          <w:i w:val="false"/>
          <w:iCs w:val="false"/>
          <w:sz w:val="22"/>
          <w:szCs w:val="22"/>
        </w:rPr>
        <w:t xml:space="preserve">Several of the seventeen Foundational Laws reveal features about the shape of the Periodic Table itself. The Sowing-and-Reaping Law (Foundational Law I), the Hear-and-Obey Blessing Law (Foundational Law VI), and the Generosity-Provision Law (Foundational Law IX) do not fit at a single Period — they operate identically at every social scale. The top row of the table is Period 0 (Scale-Invariant), holding laws of this family. The Confession-Restoration Law (Foundational Law II) and the Heart-Throne Law (Foundational Law III) form a structural pair at the sin-clearance altitude: confession clears the sin act, while the Heart-Throne Law dethrones the false god the sin was serving. The Reciprocal Forgiveness Law (Foundational Law V) and the Confession-Restoration Law (II) also complete mechanisms that the Sin Blockage and Forgiveness-Debt Transfer laws identify on the negative side; together, these laws form positive-and-negative pairs at the channel-opening level. The Drawing-Near Reciprocity Law (Foundational Law VII) is the canonical example of a fourth periodicity — reciprocity-of-response — alongside the three (channel, attention, threshold) already named in this volume. The Desire-for-God Law (Foundational Law VIII) pairs with FL.VII Drawing-Near as its inward-signal complement (the longing is the engine of the seeking), with FL.III Heart-Throne as its inverse (what the heart was made to want before idolatry redirected it), and with the new FL.XIV Vanity-of-Substitutes as its structural counterpart (the structural failure of every alternative engine). The Humility-Exaltation Law (Foundational Law IV) is the cleanest example of a law that is bidirectional in its source texts, with humbling and being humbled stated in the same sentence. The Ask-Seek-Knock Law (Foundational Law X) is the threshold form of the prayer mechanism, parent to the Prayer Resonance Law's resonance dynamics at Period 2. The Renewal-of-Mind Transformation Law (Foundational Law XI) gives the Mind/Will column its highest-confidence anchor and forms a Period 1 / Period 5 parent-child pair with the speculative Attention Economy of the Soul. The Honor-Authority Flourishing Law (Foundational Law XII) is the testing case for the principle-vs-situational-command clause in the inclusion criteria: a specific commandment with promise (Exod. 20:12) whose causal structure generalizes beyond parents to civil and ecclesial authority. The Pure-Heart Vision Law (Foundational Law XIII) is the second Gateway-type entry in the table alongside Fear of the Lord — purity of heart is the prior condition for the seeing of God in both present and eschatological senses.</w:t>
      </w:r>
    </w:p>
    <w:p>
      <w:pPr>
        <w:spacing w:after="160" w:line="300"/>
      </w:pPr>
      <w:r>
        <w:rPr>
          <w:rFonts w:ascii="Arial" w:cs="Arial" w:eastAsia="Arial" w:hAnsi="Arial"/>
          <w:b w:val="false"/>
          <w:bCs w:val="false"/>
          <w:i w:val="false"/>
          <w:iCs w:val="false"/>
          <w:sz w:val="22"/>
          <w:szCs w:val="22"/>
        </w:rPr>
        <w:t xml:space="preserve">The four newest Foundational Laws (FL.XIV–FL.XVII) emerged from the third-axis test documented in the Vol 5 Periodic Table chapter, which asked whether orientation of pursuit (God-ward vs. idol-ward) should be promoted from an entry-level attribute to a structural dimension of the table. The test's recommendation — Systematic Mirror Discipline at the entry level rather than a third axis — produced four new Foundational-tier laws whose scriptural attestation clears the inclusion bar and whose location in the table fills structural gaps the previous draft had named only implicitly. FL.XIV Vanity-of-Substitutes pairs with FL.VIII Desire-for-God as the structural failure of every alternative engine. FL.XV Hardening operates wider than V1.Exp6 Obedience Channel's specific-disobedience scope and names the cumulative-trajectory dynamic across the full range of God's address. FL.XVI Bondage pairs with FL.VI Hear-and-Obey Blessing as the idol-ward counterpart at the same scale-invariant location. FL.XVII Substitution-Cascade pairs with the still-Open Household Formation Law at P4/GII and addresses one of the most underdeveloped rows in the previous draft. The four laws together make the orientation-of-pursuit dimension consistently visible in the Foundational tier and provide the first table of the Decalogue (Exod. 20:1–11) with the operational law-form treatment its centrality in the canon warrants. These structural observations are why the Foundational Laws come first: they orient the table before the Explorations populate it.</w:t>
      </w:r>
    </w:p>
    <w:p>
      <w:pPr>
        <w:spacing w:after="160" w:line="300"/>
      </w:pPr>
      <w:r>
        <w:rPr>
          <w:rFonts w:ascii="Arial" w:cs="Arial" w:eastAsia="Arial" w:hAnsi="Arial"/>
          <w:b w:val="false"/>
          <w:bCs w:val="false"/>
          <w:i w:val="false"/>
          <w:iCs w:val="false"/>
          <w:sz w:val="22"/>
          <w:szCs w:val="22"/>
        </w:rPr>
        <w:t xml:space="preserve">The seventeen Foundational Laws are summarized below. Each is developed in its own section that follows — Scriptural Ground, Mechanism, why it is a Foundational Law, the Proposed Law statement, and a Certainty rationale. The five-field format is the same as that used in the Explorations later in the volume, with the Type tag reading "Operational Law of Wide Consent" to indicate that these are received rather than 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999999" w:sz="4"/>
              <w:left w:val="single" w:color="999999" w:sz="4"/>
              <w:bottom w:val="single" w:color="999999" w:sz="4"/>
              <w:right w:val="single" w:color="999999" w:sz="4"/>
            </w:tcBorders>
            <w:shd w:fill="E0E0E0" w:color="auto" w:val="clear"/>
            <w:tcMar>
              <w:top w:type="dxa" w:w="80"/>
              <w:left w:type="dxa" w:w="100"/>
              <w:bottom w:type="dxa" w:w="80"/>
              <w:right w:type="dxa" w:w="100"/>
            </w:tcMar>
          </w:tcPr>
          <w:p>
            <w:pPr>
              <w:spacing w:after="0"/>
            </w:pPr>
            <w:r>
              <w:rPr>
                <w:rFonts w:ascii="Arial" w:cs="Arial" w:eastAsia="Arial" w:hAnsi="Arial"/>
                <w:b/>
                <w:bCs/>
                <w:sz w:val="18"/>
                <w:szCs w:val="18"/>
              </w:rPr>
              <w:t xml:space="preserve"/>
            </w:r>
          </w:p>
        </w:tc>
        <w:tc>
          <w:tcPr>
            <w:tcW w:type="dxa" w:w="1560"/>
            <w:tcBorders>
              <w:top w:val="single" w:color="999999" w:sz="4"/>
              <w:left w:val="single" w:color="999999" w:sz="4"/>
              <w:bottom w:val="single" w:color="999999" w:sz="4"/>
              <w:right w:val="single" w:color="999999" w:sz="4"/>
            </w:tcBorders>
            <w:shd w:fill="E0E0E0" w:color="auto" w:val="clear"/>
            <w:tcMar>
              <w:top w:type="dxa" w:w="80"/>
              <w:left w:type="dxa" w:w="100"/>
              <w:bottom w:type="dxa" w:w="80"/>
              <w:right w:type="dxa" w:w="100"/>
            </w:tcMar>
          </w:tcPr>
          <w:p>
            <w:pPr>
              <w:spacing w:after="0"/>
            </w:pPr>
            <w:r>
              <w:rPr>
                <w:rFonts w:ascii="Arial" w:cs="Arial" w:eastAsia="Arial" w:hAnsi="Arial"/>
                <w:b/>
                <w:bCs/>
                <w:sz w:val="18"/>
                <w:szCs w:val="18"/>
              </w:rPr>
              <w:t xml:space="preserve"/>
            </w:r>
          </w:p>
        </w:tc>
        <w:tc>
          <w:tcPr>
            <w:tcW w:type="dxa" w:w="1560"/>
            <w:tcBorders>
              <w:top w:val="single" w:color="999999" w:sz="4"/>
              <w:left w:val="single" w:color="999999" w:sz="4"/>
              <w:bottom w:val="single" w:color="999999" w:sz="4"/>
              <w:right w:val="single" w:color="999999" w:sz="4"/>
            </w:tcBorders>
            <w:shd w:fill="E0E0E0" w:color="auto" w:val="clear"/>
            <w:tcMar>
              <w:top w:type="dxa" w:w="80"/>
              <w:left w:type="dxa" w:w="100"/>
              <w:bottom w:type="dxa" w:w="80"/>
              <w:right w:type="dxa" w:w="100"/>
            </w:tcMar>
          </w:tcPr>
          <w:p>
            <w:pPr>
              <w:spacing w:after="0"/>
            </w:pPr>
            <w:r>
              <w:rPr>
                <w:rFonts w:ascii="Arial" w:cs="Arial" w:eastAsia="Arial" w:hAnsi="Arial"/>
                <w:b/>
                <w:bCs/>
                <w:sz w:val="18"/>
                <w:szCs w:val="18"/>
              </w:rPr>
              <w:t xml:space="preserve"/>
            </w:r>
          </w:p>
        </w:tc>
        <w:tc>
          <w:tcPr>
            <w:tcW w:type="dxa" w:w="1560"/>
            <w:tcBorders>
              <w:top w:val="single" w:color="999999" w:sz="4"/>
              <w:left w:val="single" w:color="999999" w:sz="4"/>
              <w:bottom w:val="single" w:color="999999" w:sz="4"/>
              <w:right w:val="single" w:color="999999" w:sz="4"/>
            </w:tcBorders>
            <w:shd w:fill="E0E0E0" w:color="auto" w:val="clear"/>
            <w:tcMar>
              <w:top w:type="dxa" w:w="80"/>
              <w:left w:type="dxa" w:w="100"/>
              <w:bottom w:type="dxa" w:w="80"/>
              <w:right w:type="dxa" w:w="100"/>
            </w:tcMar>
          </w:tcPr>
          <w:p>
            <w:pPr>
              <w:spacing w:after="0"/>
            </w:pPr>
            <w:r>
              <w:rPr>
                <w:rFonts w:ascii="Arial" w:cs="Arial" w:eastAsia="Arial" w:hAnsi="Arial"/>
                <w:b/>
                <w:bCs/>
                <w:sz w:val="18"/>
                <w:szCs w:val="18"/>
              </w:rPr>
              <w:t xml:space="preserve"/>
            </w:r>
          </w:p>
        </w:tc>
        <w:tc>
          <w:tcPr>
            <w:tcW w:type="dxa" w:w="1560"/>
            <w:tcBorders>
              <w:top w:val="single" w:color="999999" w:sz="4"/>
              <w:left w:val="single" w:color="999999" w:sz="4"/>
              <w:bottom w:val="single" w:color="999999" w:sz="4"/>
              <w:right w:val="single" w:color="999999" w:sz="4"/>
            </w:tcBorders>
            <w:shd w:fill="E0E0E0" w:color="auto" w:val="clear"/>
            <w:tcMar>
              <w:top w:type="dxa" w:w="80"/>
              <w:left w:type="dxa" w:w="100"/>
              <w:bottom w:type="dxa" w:w="80"/>
              <w:right w:type="dxa" w:w="100"/>
            </w:tcMar>
          </w:tcPr>
          <w:p>
            <w:pPr>
              <w:spacing w:after="0"/>
            </w:pPr>
            <w:r>
              <w:rPr>
                <w:rFonts w:ascii="Arial" w:cs="Arial" w:eastAsia="Arial" w:hAnsi="Arial"/>
                <w:b/>
                <w:bCs/>
                <w:sz w:val="18"/>
                <w:szCs w:val="18"/>
              </w:rPr>
              <w:t xml:space="preserve"/>
            </w:r>
          </w:p>
        </w:tc>
        <w:tc>
          <w:tcPr>
            <w:tcW w:type="dxa" w:w="1560"/>
            <w:tcBorders>
              <w:top w:val="single" w:color="999999" w:sz="4"/>
              <w:left w:val="single" w:color="999999" w:sz="4"/>
              <w:bottom w:val="single" w:color="999999" w:sz="4"/>
              <w:right w:val="single" w:color="999999" w:sz="4"/>
            </w:tcBorders>
            <w:shd w:fill="E0E0E0" w:color="auto" w:val="clear"/>
            <w:tcMar>
              <w:top w:type="dxa" w:w="80"/>
              <w:left w:type="dxa" w:w="100"/>
              <w:bottom w:type="dxa" w:w="80"/>
              <w:right w:type="dxa" w:w="100"/>
            </w:tcMar>
          </w:tcPr>
          <w:p>
            <w:pPr>
              <w:spacing w:after="0"/>
            </w:pPr>
            <w:r>
              <w:rPr>
                <w:rFonts w:ascii="Arial" w:cs="Arial" w:eastAsia="Arial" w:hAnsi="Arial"/>
                <w:b/>
                <w:bCs/>
                <w:sz w:val="18"/>
                <w:szCs w:val="18"/>
              </w:rPr>
              <w:t xml:space="preserve"/>
            </w:r>
          </w:p>
        </w:tc>
      </w:tr>
      <w:tr>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r>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r>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r>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r>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r>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r>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r>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r>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r>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r>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r>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r>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r>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r>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r>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r>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bl>
    <w:p>
      <w:pPr>
        <w:spacing w:after="120"/>
      </w:pPr>
      <w:r>
        <w:rPr>
          <w:rFonts w:ascii="Arial" w:cs="Arial" w:eastAsia="Arial" w:hAnsi="Arial"/>
          <w:sz w:val="22"/>
          <w:szCs w:val="22"/>
        </w:rPr>
        <w:t xml:space="preserve"/>
      </w:r>
    </w:p>
    <w:p>
      <w:pPr>
        <w:spacing w:after="160" w:line="300"/>
      </w:pPr>
      <w:r>
        <w:rPr>
          <w:rFonts w:ascii="Arial" w:cs="Arial" w:eastAsia="Arial" w:hAnsi="Arial"/>
          <w:b w:val="false"/>
          <w:bCs w:val="false"/>
          <w:i/>
          <w:iCs/>
          <w:sz w:val="22"/>
          <w:szCs w:val="22"/>
        </w:rPr>
        <w:t xml:space="preserve">Scale = Period in the Periodic Table; Group = column; Tag = directionality (V/H/B/I).</w:t>
      </w:r>
    </w:p>
    <w:p>
      <w:pPr>
        <w:spacing w:after="160" w:line="300"/>
      </w:pPr>
      <w:r>
        <w:rPr>
          <w:rFonts w:ascii="Arial" w:cs="Arial" w:eastAsia="Arial" w:hAnsi="Arial"/>
          <w:b/>
          <w:bCs/>
          <w:i w:val="false"/>
          <w:iCs w:val="false"/>
          <w:sz w:val="22"/>
          <w:szCs w:val="22"/>
        </w:rPr>
        <w:t xml:space="preserve">Foundational Law I — Operational Law of Wide Consent</w:t>
      </w:r>
    </w:p>
    <w:p>
      <w:r>
        <w:br w:type="page"/>
      </w:r>
    </w:p>
    <w:p>
      <w:pPr>
        <w:spacing w:after="720" w:before="1440"/>
        <w:jc w:val="center"/>
      </w:pPr>
      <w:r>
        <w:rPr>
          <w:rFonts w:ascii="Arial" w:cs="Arial" w:eastAsia="Arial" w:hAnsi="Arial"/>
          <w:b/>
          <w:bCs/>
          <w:sz w:val="40"/>
          <w:szCs w:val="40"/>
        </w:rPr>
        <w:t xml:space="preserve">Section 4 — Vol 5 Periodic Table Chapter Replacement</w:t>
      </w:r>
    </w:p>
    <w:p>
      <w:pPr>
        <w:pBdr>
          <w:bottom w:val="single" w:color="333333" w:sz="12" w:space="1"/>
        </w:pBdr>
        <w:spacing w:after="480"/>
      </w:pPr>
      <w:r>
        <w:rPr>
          <w:rFonts w:ascii="Arial" w:cs="Arial" w:eastAsia="Arial" w:hAnsi="Arial"/>
          <w:sz w:val="22"/>
          <w:szCs w:val="22"/>
        </w:rPr>
        <w:t xml:space="preserve"/>
      </w:r>
    </w:p>
    <w:p>
      <w:pPr>
        <w:spacing w:after="240" w:line="300"/>
      </w:pPr>
      <w:r>
        <w:rPr>
          <w:rFonts w:ascii="Arial" w:cs="Arial" w:eastAsia="Arial" w:hAnsi="Arial"/>
          <w:sz w:val="22"/>
          <w:szCs w:val="22"/>
        </w:rPr>
        <w:t xml:space="preserve">The chapter below is the full replacement for the existing Vol 5 Periodic Table chapter (v5_6_0_4 → v5_6_0_5). The replacement integrates the five new entries (four Foundational, one Speculative), applies Mirror Discipline to all 33 entries in the reference list, updates the slim-format table, updates the Six Group Families discussion to reflect the new entries, updates the Six Priority Open Unknowns (one now partially answered), updates the Classical Doctrine "what is not on the table" passage with the orientation-of-pursuit note, and adds a new "Third-Axis Test and Mirror Discipline" section as the chapter's seventh subsection. Total length: approximately 12,700 words.</w:t>
      </w:r>
    </w:p>
    <w:p>
      <w:r>
        <w:br w:type="page"/>
      </w:r>
    </w:p>
    <w:p>
      <w:pPr>
        <w:spacing w:after="240"/>
        <w:jc w:val="right"/>
      </w:pPr>
      <w:r>
        <w:rPr>
          <w:rFonts w:ascii="Arial" w:cs="Arial" w:eastAsia="Arial" w:hAnsi="Arial"/>
          <w:i/>
          <w:iCs/>
          <w:sz w:val="20"/>
          <w:szCs w:val="20"/>
        </w:rPr>
        <w:t xml:space="preserve">File: periodic-table-of-spiritual-laws-a-summing.md</w:t>
      </w:r>
    </w:p>
    <w:p>
      <w:pPr>
        <w:pStyle w:val="Heading1"/>
        <w:spacing w:after="240" w:before="360"/>
      </w:pPr>
      <w:r>
        <w:rPr>
          <w:rFonts w:ascii="Arial" w:cs="Arial" w:eastAsia="Arial" w:hAnsi="Arial"/>
          <w:b/>
          <w:bCs/>
          <w:sz w:val="36"/>
          <w:szCs w:val="36"/>
        </w:rPr>
        <w:t xml:space="preserve">The Periodic Table of Spiritual Laws — A Summing and Organizing Reference</w:t>
      </w:r>
    </w:p>
    <w:p>
      <w:pPr>
        <w:spacing w:after="160" w:line="300"/>
      </w:pPr>
      <w:r>
        <w:rPr>
          <w:rFonts w:ascii="Arial" w:cs="Arial" w:eastAsia="Arial" w:hAnsi="Arial"/>
          <w:b w:val="false"/>
          <w:bCs w:val="false"/>
          <w:i w:val="false"/>
          <w:iCs w:val="false"/>
          <w:sz w:val="22"/>
          <w:szCs w:val="22"/>
        </w:rPr>
        <w:t xml:space="preserve">This chapter is the consolidated Periodic Table reference for the entire Laws-of-the-Spirit investigation. It was originally drafted as the closing chapter of Volume 1 and now lives here in Volume 5, alongside the Tool Inventory and the Companion-formation chapters, because the table's primary function is reference-and-orientation across the whole corpus rather than further argument within any single volume. Volume 1 introduces the Foundational Laws as a tier ahead of its eight Explorations; Volume 2 maps the Diagnostic, Tool-Application, and Developmental laws that operate downstream of the Vol 1 framework; Volume 3 reframes both sets in field-theoretic terms; and this table is the consolidated organizer that holds all three views in one frame so a Companion in training or in formation work can find any specific law by its place in the structure.</w:t>
      </w:r>
    </w:p>
    <w:p>
      <w:pPr>
        <w:spacing w:after="160" w:line="300"/>
      </w:pPr>
      <w:r>
        <w:rPr>
          <w:rFonts w:ascii="Arial" w:cs="Arial" w:eastAsia="Arial" w:hAnsi="Arial"/>
          <w:b w:val="false"/>
          <w:bCs w:val="false"/>
          <w:i w:val="false"/>
          <w:iCs w:val="false"/>
          <w:sz w:val="22"/>
          <w:szCs w:val="22"/>
        </w:rPr>
        <w:t xml:space="preserve">The Periodic Table is not merely a summary. It is itself an analytical instrument that sums (every analyzed law arrayed in one frame), organizes (by the two axes that the investigation has earned the right to use — Period 0–5 for scale of operation and Group I–VI for dimension of the person primarily addressed), and reveals (gaps where a law must exist but has not yet been found; family resemblances among laws sharing a Period or Group; periodicities that recur across scales and dimensions). The chapter retains its original Vol 1 structure for that reason: the Two Axes section explains the analytical instrument's shape; What the Shape Reveals is the insights section that surfaces the patterns the table makes visible; the Slim Format and Reference List are the consolidated data; the Six Group Families closes structurally; and the Six Priority Open Unknowns is the suggested-actions section that names what the table tells the corpus to look for next. Vol 5 v5_6_0_4 added a sixth subsection — Reading the Table Through Classical Doctrine — that applies a second analytical lens to the consolidated set. Vol 5 v5_6_0_5 (the present revision) adds a seventh subsection — The Third-Axis Test and Mirror Discipline — that documents the test of an orientation-of-pursuit candidate third axis and the implementation that followed from its findings; the test added four new Foundational Laws (FL.XIV–FL.XVII) and one new Speculative entry (Counter-Resonance), and established Mirror Discipline as a required field on every entry going forward.</w:t>
      </w:r>
    </w:p>
    <w:p>
      <w:pPr>
        <w:spacing w:after="160" w:line="300"/>
      </w:pPr>
      <w:r>
        <w:rPr>
          <w:rFonts w:ascii="Arial" w:cs="Arial" w:eastAsia="Arial" w:hAnsi="Arial"/>
          <w:b w:val="false"/>
          <w:bCs w:val="false"/>
          <w:i w:val="false"/>
          <w:iCs w:val="false"/>
          <w:sz w:val="22"/>
          <w:szCs w:val="22"/>
        </w:rPr>
        <w:t xml:space="preserve">The table currently holds 33 analyzed laws drawn from across the three primary volumes and the associated formation documents, including 17 Foundational Laws of wide consent (FL.I–XVII), 10 speculative extensions marked with ◆, 5 open unknowns marked [ OPEN UNKNOWN ] (down from 6 in the previous version — the Household Formation Law's idol-ward face has now been articulated as FL.XVII Substitution-Cascade, while the Household Formation Law itself remains Open), 1 anomaly, and 6 forward-references to Volume 3's field-theoretic appendix. Confidence is expressed in qualitative tiers, not statistical probabilities. The three tiers Vol 1 defines — Clearly Taught (taught directly by scripture or confirmed by community testing), Reasonably Inferred (reasonably inferred from scripture, still in need of community testing), and Speculative (interesting enough to pursue, not yet solid enough to build on) — do the actual epistemic work; see Vol 1's tier description for the full definitions. Volume 1 v5_6_0_19 added four new Foundational Laws since the previous version of this table (FL.XIV Vanity-of-Substitutes Law, FL.XV Hardening Law, FL.XVI Bondage Law, FL.XVII Substitution-Cascade Law), and the table is synced to current Vol 1 numbering as of this volume's v5_6_0_5.</w:t>
      </w:r>
    </w:p>
    <w:p>
      <w:pPr>
        <w:spacing w:after="160" w:line="300"/>
      </w:pPr>
      <w:r>
        <w:rPr>
          <w:rFonts w:ascii="Arial" w:cs="Arial" w:eastAsia="Arial" w:hAnsi="Arial"/>
          <w:b w:val="false"/>
          <w:bCs w:val="false"/>
          <w:i w:val="false"/>
          <w:iCs w:val="false"/>
          <w:sz w:val="22"/>
          <w:szCs w:val="22"/>
        </w:rPr>
        <w:t xml:space="preserve">I want to explain the reasoning behind this structure before I show you the table itself — because the structure is a hypothesis, not a presentation. If I have chosen the wrong axes, the table will look tidy, but it won't teach anything new. If I have chosen the right ones, it will show us where the investigation is dense, where it is sparse, and most importantly, </w:t>
      </w:r>
      <w:r>
        <w:rPr>
          <w:rFonts w:ascii="Arial" w:cs="Arial" w:eastAsia="Arial" w:hAnsi="Arial"/>
          <w:b/>
          <w:bCs/>
          <w:i w:val="false"/>
          <w:iCs w:val="false"/>
          <w:sz w:val="22"/>
          <w:szCs w:val="22"/>
        </w:rPr>
        <w:t xml:space="preserve">where there are laws that must exist but that we have not yet found</w:t>
      </w:r>
      <w:r>
        <w:rPr>
          <w:rFonts w:ascii="Arial" w:cs="Arial" w:eastAsia="Arial" w:hAnsi="Arial"/>
          <w:b w:val="false"/>
          <w:bCs w:val="false"/>
          <w:i w:val="false"/>
          <w:iCs w:val="false"/>
          <w:sz w:val="22"/>
          <w:szCs w:val="22"/>
        </w:rPr>
        <w:t xml:space="preserve">. Those gaps are the most valuable thing the table can produce.</w:t>
      </w:r>
    </w:p>
    <w:p>
      <w:pPr>
        <w:spacing w:after="160" w:line="300"/>
      </w:pPr>
      <w:r>
        <w:rPr>
          <w:rFonts w:ascii="Arial" w:cs="Arial" w:eastAsia="Arial" w:hAnsi="Arial"/>
          <w:b w:val="false"/>
          <w:bCs w:val="false"/>
          <w:i w:val="false"/>
          <w:iCs w:val="false"/>
          <w:sz w:val="22"/>
          <w:szCs w:val="22"/>
        </w:rPr>
        <w:t xml:space="preserve">The Periodic Table of Elements was a scientific breakthrough, not because Mendeleev was a better cataloguer than his contemporaries, but because he noticed something his contemporaries missed: </w:t>
      </w:r>
      <w:r>
        <w:rPr>
          <w:rFonts w:ascii="Arial" w:cs="Arial" w:eastAsia="Arial" w:hAnsi="Arial"/>
          <w:b w:val="false"/>
          <w:bCs w:val="false"/>
          <w:i/>
          <w:iCs/>
          <w:sz w:val="22"/>
          <w:szCs w:val="22"/>
        </w:rPr>
        <w:t xml:space="preserve">periodicity</w:t>
      </w:r>
      <w:r>
        <w:rPr>
          <w:rFonts w:ascii="Arial" w:cs="Arial" w:eastAsia="Arial" w:hAnsi="Arial"/>
          <w:b w:val="false"/>
          <w:bCs w:val="false"/>
          <w:i w:val="false"/>
          <w:iCs w:val="false"/>
          <w:sz w:val="22"/>
          <w:szCs w:val="22"/>
        </w:rPr>
        <w:t xml:space="preserve">. The same chemical behavior — the same valence, the same reactivity — kept reappearing at regular intervals as atomic number increased. Organizing by that repeating pattern revealed a structure that </w:t>
      </w:r>
      <w:r>
        <w:rPr>
          <w:rFonts w:ascii="Arial" w:cs="Arial" w:eastAsia="Arial" w:hAnsi="Arial"/>
          <w:b/>
          <w:bCs/>
          <w:i w:val="false"/>
          <w:iCs w:val="false"/>
          <w:sz w:val="22"/>
          <w:szCs w:val="22"/>
        </w:rPr>
        <w:t xml:space="preserve">predicted the existence and properties of undiscovered elements</w:t>
      </w:r>
      <w:r>
        <w:rPr>
          <w:rFonts w:ascii="Arial" w:cs="Arial" w:eastAsia="Arial" w:hAnsi="Arial"/>
          <w:b w:val="false"/>
          <w:bCs w:val="false"/>
          <w:i w:val="false"/>
          <w:iCs w:val="false"/>
          <w:sz w:val="22"/>
          <w:szCs w:val="22"/>
        </w:rPr>
        <w:t xml:space="preserve">. The gaps in the table were not failures. They were research assignments.</w:t>
      </w:r>
    </w:p>
    <w:p>
      <w:pPr>
        <w:spacing w:after="160" w:line="300"/>
      </w:pPr>
      <w:r>
        <w:rPr>
          <w:rFonts w:ascii="Arial" w:cs="Arial" w:eastAsia="Arial" w:hAnsi="Arial"/>
          <w:b w:val="false"/>
          <w:bCs w:val="false"/>
          <w:i w:val="false"/>
          <w:iCs w:val="false"/>
          <w:sz w:val="22"/>
          <w:szCs w:val="22"/>
        </w:rPr>
        <w:t xml:space="preserve">I believe the Laws of the Spirit have a periodicity. The same underlying mechanism keeps reappearing at different scales and in different dimensions of the person. Let me name three instances before I defend my axis choices.</w:t>
      </w:r>
    </w:p>
    <w:p>
      <w:pPr>
        <w:spacing w:after="160" w:line="300"/>
      </w:pPr>
      <w:r>
        <w:rPr>
          <w:rFonts w:ascii="Arial" w:cs="Arial" w:eastAsia="Arial" w:hAnsi="Arial"/>
          <w:b/>
          <w:bCs/>
          <w:i w:val="false"/>
          <w:iCs w:val="false"/>
          <w:sz w:val="22"/>
          <w:szCs w:val="22"/>
        </w:rPr>
        <w:t xml:space="preserve">The channel-opening / channel-blocking mechanism</w:t>
      </w:r>
      <w:r>
        <w:rPr>
          <w:rFonts w:ascii="Arial" w:cs="Arial" w:eastAsia="Arial" w:hAnsi="Arial"/>
          <w:b w:val="false"/>
          <w:bCs w:val="false"/>
          <w:i w:val="false"/>
          <w:iCs w:val="false"/>
          <w:sz w:val="22"/>
          <w:szCs w:val="22"/>
        </w:rPr>
        <w:t xml:space="preserve"> appears at the individual level (Obedience Channel, Sin Blockage, Forgiveness-Debt Transfer, and now FL.XV Hardening Law as a wider-scope channel-blocking law), at the small group level (Container Law, Community Amplification's gnostic warning), and — speculatively — at the generational level (Generational Transmission). Same mechanism, different scale. A law governing channel dynamics at the congregational level almost certainly exists, but we have not found it yet.</w:t>
      </w:r>
    </w:p>
    <w:p>
      <w:pPr>
        <w:spacing w:after="160" w:line="300"/>
      </w:pPr>
      <w:r>
        <w:rPr>
          <w:rFonts w:ascii="Arial" w:cs="Arial" w:eastAsia="Arial" w:hAnsi="Arial"/>
          <w:b/>
          <w:bCs/>
          <w:i w:val="false"/>
          <w:iCs w:val="false"/>
          <w:sz w:val="22"/>
          <w:szCs w:val="22"/>
        </w:rPr>
        <w:t xml:space="preserve">The attention-conformity mechanism</w:t>
      </w:r>
      <w:r>
        <w:rPr>
          <w:rFonts w:ascii="Arial" w:cs="Arial" w:eastAsia="Arial" w:hAnsi="Arial"/>
          <w:b w:val="false"/>
          <w:bCs w:val="false"/>
          <w:i w:val="false"/>
          <w:iCs w:val="false"/>
          <w:sz w:val="22"/>
          <w:szCs w:val="22"/>
        </w:rPr>
        <w:t xml:space="preserve"> appears in the soul's movement toward its sustained object of attention (the Attention Economy of the Soul), in the Faith-Hope-Love triad's reinforcing loop, and in the Worship Alignment Law's claim about perception recalibration. Same underlying dynamic: what you direct sustained attention toward, you move toward and are changed by.</w:t>
      </w:r>
    </w:p>
    <w:p>
      <w:pPr>
        <w:spacing w:after="160" w:line="300"/>
      </w:pPr>
      <w:r>
        <w:rPr>
          <w:rFonts w:ascii="Arial" w:cs="Arial" w:eastAsia="Arial" w:hAnsi="Arial"/>
          <w:b/>
          <w:bCs/>
          <w:i w:val="false"/>
          <w:iCs w:val="false"/>
          <w:sz w:val="22"/>
          <w:szCs w:val="22"/>
        </w:rPr>
        <w:t xml:space="preserve">The threshold / gateway structure</w:t>
      </w:r>
      <w:r>
        <w:rPr>
          <w:rFonts w:ascii="Arial" w:cs="Arial" w:eastAsia="Arial" w:hAnsi="Arial"/>
          <w:b w:val="false"/>
          <w:bCs w:val="false"/>
          <w:i w:val="false"/>
          <w:iCs w:val="false"/>
          <w:sz w:val="22"/>
          <w:szCs w:val="22"/>
        </w:rPr>
        <w:t xml:space="preserve"> appears in the Fear of the Lord as the entry condition for the Wisdom cluster, in the Affective Level 2→3 transition as the critical formation threshold, in regeneration as the entry condition for spirit formation, and in the Miracle Threshold Events model. Each is logically prior to what follows it; each requires a specific condition to be met before the next stage becomes available.</w:t>
      </w:r>
    </w:p>
    <w:p>
      <w:pPr>
        <w:spacing w:after="160" w:line="300"/>
      </w:pPr>
      <w:r>
        <w:rPr>
          <w:rFonts w:ascii="Arial" w:cs="Arial" w:eastAsia="Arial" w:hAnsi="Arial"/>
          <w:b w:val="false"/>
          <w:bCs w:val="false"/>
          <w:i w:val="false"/>
          <w:iCs w:val="false"/>
          <w:sz w:val="22"/>
          <w:szCs w:val="22"/>
        </w:rPr>
        <w:t xml:space="preserve">These repetitions are the periodicity. The table is built around them. Also note that the elements are drawn from all three volumes of this IJH work.</w:t>
      </w:r>
    </w:p>
    <w:p>
      <w:pPr>
        <w:spacing w:after="160" w:line="300"/>
      </w:pPr>
      <w:r>
        <w:rPr>
          <w:rFonts w:ascii="Arial" w:cs="Arial" w:eastAsia="Arial" w:hAnsi="Arial"/>
          <w:b w:val="false"/>
          <w:bCs w:val="false"/>
          <w:i w:val="false"/>
          <w:iCs w:val="false"/>
          <w:sz w:val="22"/>
          <w:szCs w:val="22"/>
        </w:rPr>
        <w:t xml:space="preserve">A fourth periodicity belongs alongside the three above: reciprocity-of-response. God's response is structured in kind by the person's posture. The locus classicus is Ps. 18:25–26 (ESV): "With the merciful you show yourself merciful; with the blameless man you show yourself blameless; with the purified you show yourself pure; and with the crooked you make yourself seem tortuous." This is distinct from channel-opening (which is one-directional), from attention-conformity (which shapes the attender rather than the attended), and from threshold (which is binary). It surfaces in the Drawing-Near Reciprocity, Humility-Exaltation, Reciprocal Forgiveness, and Generosity-Provision dynamics. I am naming it as a fourth periodicity rather than reorganizing the table around it; it functions as an additional analytical lens for reading the table.</w:t>
      </w:r>
    </w:p>
    <w:p>
      <w:pPr>
        <w:spacing w:after="160" w:line="300"/>
      </w:pPr>
      <w:r>
        <w:rPr>
          <w:rFonts w:ascii="Arial" w:cs="Arial" w:eastAsia="Arial" w:hAnsi="Arial"/>
          <w:b w:val="false"/>
          <w:bCs w:val="false"/>
          <w:i w:val="false"/>
          <w:iCs w:val="false"/>
          <w:sz w:val="22"/>
          <w:szCs w:val="22"/>
        </w:rPr>
        <w:t xml:space="preserve">A possible fifth periodicity — designed-orientation with structural-failure-of-alternatives — is now more sharply posed by the FL.VIII Desire-for-God / FL.XIV Vanity-of-Substitutes pairing produced by the third-axis test. The corpus reserves the fifth-periodicity question for future revision but notes that the paired-law pattern (designed-for-X engine + structural-failure-of-every-non-X engine) may itself constitute the fifth periodicity rather than any single law. See the Third-Axis Test section below for the full treatment.</w:t>
      </w:r>
    </w:p>
    <w:p>
      <w:pPr>
        <w:pStyle w:val="Heading2"/>
        <w:spacing w:after="160" w:before="240"/>
      </w:pPr>
      <w:r>
        <w:rPr>
          <w:rFonts w:ascii="Arial" w:cs="Arial" w:eastAsia="Arial" w:hAnsi="Arial"/>
          <w:b/>
          <w:bCs/>
          <w:sz w:val="30"/>
          <w:szCs w:val="30"/>
        </w:rPr>
        <w:t xml:space="preserve">The Two Axes</w:t>
      </w:r>
    </w:p>
    <w:p>
      <w:pPr>
        <w:spacing w:after="160" w:line="300"/>
      </w:pPr>
      <w:r>
        <w:rPr>
          <w:rFonts w:ascii="Arial" w:cs="Arial" w:eastAsia="Arial" w:hAnsi="Arial"/>
          <w:b/>
          <w:bCs/>
          <w:i w:val="false"/>
          <w:iCs w:val="false"/>
          <w:sz w:val="22"/>
          <w:szCs w:val="22"/>
        </w:rPr>
        <w:t xml:space="preserve">Axis 1 (the rows — the 'Period' analog): Scale of operation.</w:t>
      </w:r>
      <w:r>
        <w:rPr>
          <w:rFonts w:ascii="Arial" w:cs="Arial" w:eastAsia="Arial" w:hAnsi="Arial"/>
          <w:b w:val="false"/>
          <w:bCs w:val="false"/>
          <w:i w:val="false"/>
          <w:iCs w:val="false"/>
          <w:sz w:val="22"/>
          <w:szCs w:val="22"/>
        </w:rPr>
        <w:t xml:space="preserve"> Individual → Dyadic/Small Group → Community/Congregation → Generational/Historical → Cosmic/Eschatological. My argument for this axis: almost every law we have found has a version that operates at multiple scales simultaneously, and the laws at each scale form a genuine family — they share mechanism but differ in their unit of analysis, their time constant, and their feedback dynamics. The Obedience Channel law operates in an individual's daily walk; it also operates in a congregation's collective faithfulness over decades; and it arguably operates in a civilization's relationship to revealed truth across centuries. Those are the same law at three different scales, which means the table should show them in the same column.</w:t>
      </w:r>
    </w:p>
    <w:p>
      <w:pPr>
        <w:spacing w:after="160" w:line="300"/>
      </w:pPr>
      <w:r>
        <w:rPr>
          <w:rFonts w:ascii="Arial" w:cs="Arial" w:eastAsia="Arial" w:hAnsi="Arial"/>
          <w:b/>
          <w:bCs/>
          <w:i w:val="false"/>
          <w:iCs w:val="false"/>
          <w:sz w:val="22"/>
          <w:szCs w:val="22"/>
        </w:rPr>
        <w:t xml:space="preserve">Axis 2 (the columns — the 'Group' analog): Dimension of the person primarily addressed.</w:t>
      </w:r>
      <w:r>
        <w:rPr>
          <w:rFonts w:ascii="Arial" w:cs="Arial" w:eastAsia="Arial" w:hAnsi="Arial"/>
          <w:b w:val="false"/>
          <w:bCs w:val="false"/>
          <w:i w:val="false"/>
          <w:iCs w:val="false"/>
          <w:sz w:val="22"/>
          <w:szCs w:val="22"/>
        </w:rPr>
        <w:t xml:space="preserve"> Spirit → Heart → Soul → Mind/Will → Body/Action → Structural Frame. My argument is that the Formation Documents establish that each dimension has its own developmental logic, its own scriptural vocabulary, and its own relationship to the Spirit's work. Laws that primarily operate in the spirit dimension (Fear of the Lord, Miracle Frame, Prophetic Imagination) share a family resemblance different from laws operating in the heart dimension (Faith Generation, Hearing Development, Community Amplification). The Structural Frame column catches laws that are primarily architectural — they describe the landscape within which the other laws operate.</w:t>
      </w:r>
    </w:p>
    <w:p>
      <w:pPr>
        <w:spacing w:after="160" w:line="300"/>
      </w:pPr>
      <w:r>
        <w:rPr>
          <w:rFonts w:ascii="Arial" w:cs="Arial" w:eastAsia="Arial" w:hAnsi="Arial"/>
          <w:b w:val="false"/>
          <w:bCs w:val="false"/>
          <w:i w:val="false"/>
          <w:iCs w:val="false"/>
          <w:sz w:val="22"/>
          <w:szCs w:val="22"/>
        </w:rPr>
        <w:t xml:space="preserve">I considered two alternative arrangements. </w:t>
      </w:r>
      <w:r>
        <w:rPr>
          <w:rFonts w:ascii="Arial" w:cs="Arial" w:eastAsia="Arial" w:hAnsi="Arial"/>
          <w:b w:val="false"/>
          <w:bCs w:val="false"/>
          <w:i/>
          <w:iCs/>
          <w:sz w:val="22"/>
          <w:szCs w:val="22"/>
        </w:rPr>
        <w:t xml:space="preserve">Directionality of causation</w:t>
      </w:r>
      <w:r>
        <w:rPr>
          <w:rFonts w:ascii="Arial" w:cs="Arial" w:eastAsia="Arial" w:hAnsi="Arial"/>
          <w:b w:val="false"/>
          <w:bCs w:val="false"/>
          <w:i w:val="false"/>
          <w:iCs w:val="false"/>
          <w:sz w:val="22"/>
          <w:szCs w:val="22"/>
        </w:rPr>
        <w:t xml:space="preserve"> (God→Human / Human→God / Human→Human) would reveal different patterns, particularly around laws governing divine initiative vs. human cooperation — a theologically important axis I am not capturing here. </w:t>
      </w:r>
      <w:r>
        <w:rPr>
          <w:rFonts w:ascii="Arial" w:cs="Arial" w:eastAsia="Arial" w:hAnsi="Arial"/>
          <w:b w:val="false"/>
          <w:bCs w:val="false"/>
          <w:i/>
          <w:iCs/>
          <w:sz w:val="22"/>
          <w:szCs w:val="22"/>
        </w:rPr>
        <w:t xml:space="preserve">Law type</w:t>
      </w:r>
      <w:r>
        <w:rPr>
          <w:rFonts w:ascii="Arial" w:cs="Arial" w:eastAsia="Arial" w:hAnsi="Arial"/>
          <w:b w:val="false"/>
          <w:bCs w:val="false"/>
          <w:i w:val="false"/>
          <w:iCs w:val="false"/>
          <w:sz w:val="22"/>
          <w:szCs w:val="22"/>
        </w:rPr>
        <w:t xml:space="preserve"> (Structural / Operational / Diagnostic / etc.) would make the existing taxonomy visible, but would reproduce what the Master Law Index already shows, without generating new predictions. I chose Scale and Dimension because they produce the most interesting gaps, which is the test.</w:t>
      </w:r>
    </w:p>
    <w:p>
      <w:pPr>
        <w:spacing w:after="160" w:line="300"/>
      </w:pPr>
      <w:r>
        <w:rPr>
          <w:rFonts w:ascii="Arial" w:cs="Arial" w:eastAsia="Arial" w:hAnsi="Arial"/>
          <w:b w:val="false"/>
          <w:bCs w:val="false"/>
          <w:i w:val="false"/>
          <w:iCs w:val="false"/>
          <w:sz w:val="22"/>
          <w:szCs w:val="22"/>
        </w:rPr>
        <w:t xml:space="preserve">A third candidate axis was considered and tested at length in the third-axis test documented later in this chapter: </w:t>
      </w:r>
      <w:r>
        <w:rPr>
          <w:rFonts w:ascii="Arial" w:cs="Arial" w:eastAsia="Arial" w:hAnsi="Arial"/>
          <w:b w:val="false"/>
          <w:bCs w:val="false"/>
          <w:i/>
          <w:iCs/>
          <w:sz w:val="22"/>
          <w:szCs w:val="22"/>
        </w:rPr>
        <w:t xml:space="preserve">orientation of pursuit</w:t>
      </w:r>
      <w:r>
        <w:rPr>
          <w:rFonts w:ascii="Arial" w:cs="Arial" w:eastAsia="Arial" w:hAnsi="Arial"/>
          <w:b w:val="false"/>
          <w:bCs w:val="false"/>
          <w:i w:val="false"/>
          <w:iCs w:val="false"/>
          <w:sz w:val="22"/>
          <w:szCs w:val="22"/>
        </w:rPr>
        <w:t xml:space="preserve"> (God-ward vs. idol-ward), with the first table of the Decalogue (Exod. 20:1–11) as its scriptural anchor. The test found the dimension to be real and operationally important across the table, but the analysis of four candidate forms (entry attribute, systematic Mirror discipline, paired-row treatment, true third axis) concluded that Mirror Discipline at the entry level is the right structural integration for the dimension at the present density of inverse-law content. The two-axis instrument therefore stands; the third dimension is named through the Mirror field rather than promoted to a structural axis. See the Third-Axis Test and Mirror Discipline section below for the full reasoning.</w:t>
      </w:r>
    </w:p>
    <w:p>
      <w:pPr>
        <w:pStyle w:val="Heading2"/>
        <w:spacing w:after="160" w:before="240"/>
      </w:pPr>
      <w:r>
        <w:rPr>
          <w:rFonts w:ascii="Arial" w:cs="Arial" w:eastAsia="Arial" w:hAnsi="Arial"/>
          <w:b/>
          <w:bCs/>
          <w:sz w:val="30"/>
          <w:szCs w:val="30"/>
        </w:rPr>
        <w:t xml:space="preserve">What the Shape of the Table Reveals</w:t>
      </w:r>
    </w:p>
    <w:p>
      <w:pPr>
        <w:spacing w:after="160" w:line="300"/>
      </w:pPr>
      <w:r>
        <w:rPr>
          <w:rFonts w:ascii="Arial" w:cs="Arial" w:eastAsia="Arial" w:hAnsi="Arial"/>
          <w:b/>
          <w:bCs/>
          <w:i w:val="false"/>
          <w:iCs w:val="false"/>
          <w:sz w:val="22"/>
          <w:szCs w:val="22"/>
        </w:rPr>
        <w:t xml:space="preserve">Period 1 (Individual) is the densest row.</w:t>
      </w:r>
      <w:r>
        <w:rPr>
          <w:rFonts w:ascii="Arial" w:cs="Arial" w:eastAsia="Arial" w:hAnsi="Arial"/>
          <w:b w:val="false"/>
          <w:bCs w:val="false"/>
          <w:i w:val="false"/>
          <w:iCs w:val="false"/>
          <w:sz w:val="22"/>
          <w:szCs w:val="22"/>
        </w:rPr>
        <w:t xml:space="preserve"> It holds 12 of the 32 confirmed laws (FL.XIV Vanity-of-Substitutes added at P1/GII in this revision). This is not surprising — the investigation began with my own interior life and expanded outward. But it means that individual-level laws are well lit, while community, generational, and cosmic laws remain largely dark — somewhat less dark, with this revision, at Period 4 in the Heart column.</w:t>
      </w:r>
    </w:p>
    <w:p>
      <w:pPr>
        <w:spacing w:after="160" w:line="300"/>
      </w:pPr>
      <w:r>
        <w:rPr>
          <w:rFonts w:ascii="Arial" w:cs="Arial" w:eastAsia="Arial" w:hAnsi="Arial"/>
          <w:b/>
          <w:bCs/>
          <w:i w:val="false"/>
          <w:iCs w:val="false"/>
          <w:sz w:val="22"/>
          <w:szCs w:val="22"/>
        </w:rPr>
        <w:t xml:space="preserve">Group VI (Structural Frame) is the most confirmed column.</w:t>
      </w:r>
      <w:r>
        <w:rPr>
          <w:rFonts w:ascii="Arial" w:cs="Arial" w:eastAsia="Arial" w:hAnsi="Arial"/>
          <w:b w:val="false"/>
          <w:bCs w:val="false"/>
          <w:i w:val="false"/>
          <w:iCs w:val="false"/>
          <w:sz w:val="22"/>
          <w:szCs w:val="22"/>
        </w:rPr>
        <w:t xml:space="preserve"> We have structural frame laws at Individual, Dyadic, Community, and Cosmic scales — the architecture of the system is becoming visible. The Period 5 / Group VI cell has four entries: TFT, Spiritual Distance, Quantification Program, and the Glory Attractor. This density in the frame column is appropriate. You need the map before you can navigate.</w:t>
      </w:r>
    </w:p>
    <w:p>
      <w:pPr>
        <w:spacing w:after="160" w:line="300"/>
      </w:pPr>
      <w:r>
        <w:rPr>
          <w:rFonts w:ascii="Arial" w:cs="Arial" w:eastAsia="Arial" w:hAnsi="Arial"/>
          <w:b/>
          <w:bCs/>
          <w:i w:val="false"/>
          <w:iCs w:val="false"/>
          <w:sz w:val="22"/>
          <w:szCs w:val="22"/>
        </w:rPr>
        <w:t xml:space="preserve">Period 4 (Generational) remains underdeveloped but less so.</w:t>
      </w:r>
      <w:r>
        <w:rPr>
          <w:rFonts w:ascii="Arial" w:cs="Arial" w:eastAsia="Arial" w:hAnsi="Arial"/>
          <w:b w:val="false"/>
          <w:bCs w:val="false"/>
          <w:i w:val="false"/>
          <w:iCs w:val="false"/>
          <w:sz w:val="22"/>
          <w:szCs w:val="22"/>
        </w:rPr>
        <w:t xml:space="preserve"> The previous draft held five open unknowns and speculative entries at P4. This revision articulates one of them: the inverse-direction (idol-ward face) of the Open Household Formation Law at P4/GII is now named as FL.XVII Substitution-Cascade. The Household Formation Law itself remains Open pending its full articulation, and the other four P4 Open Unknowns remain Open. Scripture has a great deal to say about generational dynamics — the Deuteronomic narrative, the Abrahamic covenant, the transmission of blessing and curse, Paul's language about Timothy — and the third-axis test established that the orientation-of-pursuit dimension is the operational frame the remaining P4 laws have been waiting for. This is probably still the most practically important period for family formation and long-horizon discipleship.</w:t>
      </w:r>
    </w:p>
    <w:p>
      <w:pPr>
        <w:spacing w:after="160" w:line="300"/>
      </w:pPr>
      <w:r>
        <w:rPr>
          <w:rFonts w:ascii="Arial" w:cs="Arial" w:eastAsia="Arial" w:hAnsi="Arial"/>
          <w:b/>
          <w:bCs/>
          <w:i w:val="false"/>
          <w:iCs w:val="false"/>
          <w:sz w:val="22"/>
          <w:szCs w:val="22"/>
        </w:rPr>
        <w:t xml:space="preserve">Group I (Spirit) has a striking gap at Period 3.</w:t>
      </w:r>
      <w:r>
        <w:rPr>
          <w:rFonts w:ascii="Arial" w:cs="Arial" w:eastAsia="Arial" w:hAnsi="Arial"/>
          <w:b w:val="false"/>
          <w:bCs w:val="false"/>
          <w:i w:val="false"/>
          <w:iCs w:val="false"/>
          <w:sz w:val="22"/>
          <w:szCs w:val="22"/>
        </w:rPr>
        <w:t xml:space="preserve"> We now have the Fear of the Lord (individual entry condition), the Miracle Frame (cosmic), the Prophetic Imagination and Prayer Resonance (dyadic, the latter confirmed), and FL.XV Hardening Law (scale-invariant P0 channel-blocking law in the Spirit column). But we still have no confirmed law governing how the Spirit operates distinctively through a gathered body (Period 3). The Elijah/Elisha double-portion pattern, the Acts 13 gathered-body discernment moment, the Pentecost pattern — these are pointing at something not yet articulated. The Spirit Anointing Transmission Law at P4/GI also remains Open.</w:t>
      </w:r>
    </w:p>
    <w:p>
      <w:pPr>
        <w:spacing w:after="160" w:line="300"/>
      </w:pPr>
      <w:r>
        <w:rPr>
          <w:rFonts w:ascii="Arial" w:cs="Arial" w:eastAsia="Arial" w:hAnsi="Arial"/>
          <w:b/>
          <w:bCs/>
          <w:i w:val="false"/>
          <w:iCs w:val="false"/>
          <w:sz w:val="22"/>
          <w:szCs w:val="22"/>
        </w:rPr>
        <w:t xml:space="preserve">Group V (Body/Action) now contains FL.XVI Bondage Law</w:t>
      </w:r>
      <w:r>
        <w:rPr>
          <w:rFonts w:ascii="Arial" w:cs="Arial" w:eastAsia="Arial" w:hAnsi="Arial"/>
          <w:b w:val="false"/>
          <w:bCs w:val="false"/>
          <w:i w:val="false"/>
          <w:iCs w:val="false"/>
          <w:sz w:val="22"/>
          <w:szCs w:val="22"/>
        </w:rPr>
        <w:t xml:space="preserve"> at P0/GV, paired with FL.VI Hear-and-Obey Blessing as its idol-ward counterpart at the same scale-invariant location. The two laws are the same mechanism (sustained obedience as constitutive of the obeyer's state) viewed from two directions of pursuit. Together with the Sin Blockage Law (V2.Exp4) and Forgiveness-Debt Transfer Law (Speculative) at P2/GV — which form an analogous pair at the dyadic scale — the Body/Action column now displays the orientation-of-pursuit pattern across two periods.</w:t>
      </w:r>
    </w:p>
    <w:p>
      <w:pPr>
        <w:spacing w:after="160" w:line="300"/>
      </w:pPr>
      <w:r>
        <w:rPr>
          <w:rFonts w:ascii="Arial" w:cs="Arial" w:eastAsia="Arial" w:hAnsi="Arial"/>
          <w:b/>
          <w:bCs/>
          <w:i w:val="false"/>
          <w:iCs w:val="false"/>
          <w:sz w:val="22"/>
          <w:szCs w:val="22"/>
        </w:rPr>
        <w:t xml:space="preserve">The Heart column (Group II) is the densest column for the orientation-of-pursuit dimension after this revision.</w:t>
      </w:r>
      <w:r>
        <w:rPr>
          <w:rFonts w:ascii="Arial" w:cs="Arial" w:eastAsia="Arial" w:hAnsi="Arial"/>
          <w:b w:val="false"/>
          <w:bCs w:val="false"/>
          <w:i w:val="false"/>
          <w:iCs w:val="false"/>
          <w:sz w:val="22"/>
          <w:szCs w:val="22"/>
        </w:rPr>
        <w:t xml:space="preserve"> At P1/GII the column now holds FL.III Heart-Throne (which Object the heart enthrones), FL.VIII Desire-for-God (the engine of God-ward longing), FL.XIII Pure-Heart Vision (single-Object orientation as gateway), and the new FL.XIV Vanity-of-Substitutes (structural failure of every alternative engine), with V1.Exp1 Faith Generation and V1.Exp3 Faith-Hope-Love Triad as supporting Reasonably-Inferred entries. At P4/GII the new FL.XVII Substitution-Cascade Law completes the idol-ward face of the territory the still-Open Household Formation Law occupies. The Heart column's density in the orientation dimension is appropriate — orientation of pursuit is by its nature a heart-level dynamic, and the table now reflects that.</w:t>
      </w:r>
    </w:p>
    <w:p>
      <w:pPr>
        <w:spacing w:after="160" w:line="300"/>
      </w:pPr>
      <w:r>
        <w:rPr>
          <w:rFonts w:ascii="Arial" w:cs="Arial" w:eastAsia="Arial" w:hAnsi="Arial"/>
          <w:b/>
          <w:bCs/>
          <w:i w:val="false"/>
          <w:iCs w:val="false"/>
          <w:sz w:val="22"/>
          <w:szCs w:val="22"/>
        </w:rPr>
        <w:t xml:space="preserve">The anomaly entry deserves continued attention.</w:t>
      </w:r>
      <w:r>
        <w:rPr>
          <w:rFonts w:ascii="Arial" w:cs="Arial" w:eastAsia="Arial" w:hAnsi="Arial"/>
          <w:b w:val="false"/>
          <w:bCs w:val="false"/>
          <w:i w:val="false"/>
          <w:iCs w:val="false"/>
          <w:sz w:val="22"/>
          <w:szCs w:val="22"/>
        </w:rPr>
        <w:t xml:space="preserve"> The Skill Development Law (V2.Exp10, Reasonably Inferred) does not fit cleanly into any single cell — it spans Individual and Community scales simultaneously, because skills develop in individuals, but the conditions for that development are almost entirely community-dependent. In chemistry, hydrogen's ambiguous placement (it could go in Group I with the alkali metals, or Group VII with the halogens) was a clue to its unique properties. The Skill Development Law's ambiguous placement may point to a missing meta-law about how formation systems transfer across </w:t>
      </w:r>
      <w:r>
        <w:rPr>
          <w:rFonts w:ascii="Arial" w:cs="Arial" w:eastAsia="Arial" w:hAnsi="Arial"/>
          <w:b w:val="false"/>
          <w:bCs w:val="false"/>
          <w:i/>
          <w:iCs/>
          <w:sz w:val="22"/>
          <w:szCs w:val="22"/>
        </w:rPr>
        <w:t xml:space="preserve">scales</w:t>
      </w:r>
      <w:r>
        <w:rPr>
          <w:rFonts w:ascii="Arial" w:cs="Arial" w:eastAsia="Arial" w:hAnsi="Arial"/>
          <w:b w:val="false"/>
          <w:bCs w:val="false"/>
          <w:i w:val="false"/>
          <w:iCs w:val="false"/>
          <w:sz w:val="22"/>
          <w:szCs w:val="22"/>
        </w:rPr>
        <w:t xml:space="preserve"> — a law about the interface between individual development and community context.</w:t>
      </w:r>
    </w:p>
    <w:p>
      <w:pPr>
        <w:spacing w:after="160" w:line="300"/>
      </w:pPr>
      <w:r>
        <w:rPr>
          <w:rFonts w:ascii="Arial" w:cs="Arial" w:eastAsia="Arial" w:hAnsi="Arial"/>
          <w:b/>
          <w:bCs/>
          <w:i w:val="false"/>
          <w:iCs w:val="false"/>
          <w:sz w:val="22"/>
          <w:szCs w:val="22"/>
        </w:rPr>
        <w:t xml:space="preserve">The Periodic Table of Spiritual Laws — Revised Working Draft (v5_6_0_5)</w:t>
      </w:r>
    </w:p>
    <w:p>
      <w:pPr>
        <w:spacing w:after="160" w:line="300"/>
      </w:pPr>
      <w:r>
        <w:rPr>
          <w:rFonts w:ascii="Arial" w:cs="Arial" w:eastAsia="Arial" w:hAnsi="Arial"/>
          <w:b w:val="false"/>
          <w:bCs w:val="false"/>
          <w:i/>
          <w:iCs/>
          <w:sz w:val="22"/>
          <w:szCs w:val="22"/>
        </w:rPr>
        <w:t xml:space="preserve">33 analyzed laws · 17 foundational laws · 10 speculative extensions (◆) · 5 open unknowns · 1 anomaly · 6 Vol 3 forward-references (see appendix)</w:t>
      </w:r>
    </w:p>
    <w:p>
      <w:pPr>
        <w:pStyle w:val="Heading2"/>
        <w:spacing w:after="160" w:before="240"/>
      </w:pPr>
      <w:r>
        <w:rPr>
          <w:rFonts w:ascii="Arial" w:cs="Arial" w:eastAsia="Arial" w:hAnsi="Arial"/>
          <w:b/>
          <w:bCs/>
          <w:sz w:val="30"/>
          <w:szCs w:val="30"/>
        </w:rPr>
        <w:t xml:space="preserve">The Periodic Table of Spiritual Laws — Slim Format</w:t>
      </w:r>
    </w:p>
    <w:p>
      <w:pPr>
        <w:spacing w:after="160" w:line="300"/>
      </w:pPr>
      <w:r>
        <w:rPr>
          <w:rFonts w:ascii="Arial" w:cs="Arial" w:eastAsia="Arial" w:hAnsi="Arial"/>
          <w:b w:val="false"/>
          <w:bCs w:val="false"/>
          <w:i/>
          <w:iCs/>
          <w:sz w:val="22"/>
          <w:szCs w:val="22"/>
        </w:rPr>
        <w:t xml:space="preserve">33 analyzed laws · 17 foundational laws · 10 speculative extensions (◆) · 5 open unknowns · 1 anomaly · 6 Vol 3 forward-references (see appendix)</w:t>
      </w:r>
    </w:p>
    <w:p>
      <w:pPr>
        <w:spacing w:after="160" w:line="300"/>
      </w:pPr>
      <w:r>
        <w:rPr>
          <w:rFonts w:ascii="Arial" w:cs="Arial" w:eastAsia="Arial" w:hAnsi="Arial"/>
          <w:b/>
          <w:bCs/>
          <w:i w:val="false"/>
          <w:iCs w:val="false"/>
          <w:sz w:val="22"/>
          <w:szCs w:val="22"/>
        </w:rPr>
        <w:t xml:space="preserve">HOW TO READ THIS TABLE</w:t>
      </w:r>
    </w:p>
    <w:p>
      <w:pPr>
        <w:spacing w:after="160" w:line="300"/>
      </w:pPr>
      <w:r>
        <w:rPr>
          <w:rFonts w:ascii="Arial" w:cs="Arial" w:eastAsia="Arial" w:hAnsi="Arial"/>
          <w:b/>
          <w:bCs/>
          <w:i w:val="false"/>
          <w:iCs w:val="false"/>
          <w:sz w:val="22"/>
          <w:szCs w:val="22"/>
        </w:rPr>
        <w:t xml:space="preserve">Directionality tag (V/H/B/I):</w:t>
      </w:r>
      <w:r>
        <w:rPr>
          <w:rFonts w:ascii="Arial" w:cs="Arial" w:eastAsia="Arial" w:hAnsi="Arial"/>
          <w:b w:val="false"/>
          <w:bCs w:val="false"/>
          <w:i w:val="false"/>
          <w:iCs w:val="false"/>
          <w:sz w:val="22"/>
          <w:szCs w:val="22"/>
        </w:rPr>
        <w:t xml:space="preserve"> Relational vector only. (V) Vertical (Person↔God); (H) Horizontal (Person↔Person); (B) Both V and H; (I) Intra-personal. </w:t>
      </w:r>
      <w:r>
        <w:rPr>
          <w:rFonts w:ascii="Arial" w:cs="Arial" w:eastAsia="Arial" w:hAnsi="Arial"/>
          <w:b w:val="false"/>
          <w:bCs w:val="false"/>
          <w:i/>
          <w:iCs/>
          <w:sz w:val="22"/>
          <w:szCs w:val="22"/>
        </w:rPr>
        <w:t xml:space="preserve">Beginning with v5_6_0_5, the directionality tag refers to the relational vector only; orientation symmetry (God-ward vs. idol-ward) is named in the Mirror field rather than collapsed into the (B) tag. The previous draft's (B) tag was ambiguous between three kinds of symmetry — relational-vector, posture, and orientation — and this revision separates them.</w:t>
      </w:r>
    </w:p>
    <w:p>
      <w:pPr>
        <w:spacing w:after="160" w:line="300"/>
      </w:pPr>
      <w:r>
        <w:rPr>
          <w:rFonts w:ascii="Arial" w:cs="Arial" w:eastAsia="Arial" w:hAnsi="Arial"/>
          <w:b/>
          <w:bCs/>
          <w:i w:val="false"/>
          <w:iCs w:val="false"/>
          <w:sz w:val="22"/>
          <w:szCs w:val="22"/>
        </w:rPr>
        <w:t xml:space="preserve">Confidence:</w:t>
      </w:r>
      <w:r>
        <w:rPr>
          <w:rFonts w:ascii="Arial" w:cs="Arial" w:eastAsia="Arial" w:hAnsi="Arial"/>
          <w:b w:val="false"/>
          <w:bCs w:val="false"/>
          <w:i w:val="false"/>
          <w:iCs w:val="false"/>
          <w:sz w:val="22"/>
          <w:szCs w:val="22"/>
        </w:rPr>
        <w:t xml:space="preserve"> Three qualitative tiers: Clearly Taught (taught directly by scripture or confirmed by community testing); Reasonably Inferred (reasonably inferred from scripture, still in need of community testing); Speculative (interesting enough to pursue, not yet solid enough to build on). See Vol 1 for the full tier definitions.</w:t>
      </w:r>
    </w:p>
    <w:p>
      <w:pPr>
        <w:spacing w:after="160" w:line="300"/>
      </w:pPr>
      <w:r>
        <w:rPr>
          <w:rFonts w:ascii="Arial" w:cs="Arial" w:eastAsia="Arial" w:hAnsi="Arial"/>
          <w:b/>
          <w:bCs/>
          <w:i w:val="false"/>
          <w:iCs w:val="false"/>
          <w:sz w:val="22"/>
          <w:szCs w:val="22"/>
        </w:rPr>
        <w:t xml:space="preserve">Speculative marker:</w:t>
      </w:r>
      <w:r>
        <w:rPr>
          <w:rFonts w:ascii="Arial" w:cs="Arial" w:eastAsia="Arial" w:hAnsi="Arial"/>
          <w:b w:val="false"/>
          <w:bCs w:val="false"/>
          <w:i w:val="false"/>
          <w:iCs w:val="false"/>
          <w:sz w:val="22"/>
          <w:szCs w:val="22"/>
        </w:rPr>
        <w:t xml:space="preserve"> ◆ marks entries not yet at the threshold of confirmation.</w:t>
      </w:r>
    </w:p>
    <w:p>
      <w:pPr>
        <w:spacing w:after="160" w:line="300"/>
      </w:pPr>
      <w:r>
        <w:rPr>
          <w:rFonts w:ascii="Arial" w:cs="Arial" w:eastAsia="Arial" w:hAnsi="Arial"/>
          <w:b/>
          <w:bCs/>
          <w:i w:val="false"/>
          <w:iCs w:val="false"/>
          <w:sz w:val="22"/>
          <w:szCs w:val="22"/>
        </w:rPr>
        <w:t xml:space="preserve">Mirror field (new in v5_6_0_5):</w:t>
      </w:r>
      <w:r>
        <w:rPr>
          <w:rFonts w:ascii="Arial" w:cs="Arial" w:eastAsia="Arial" w:hAnsi="Arial"/>
          <w:b w:val="false"/>
          <w:bCs w:val="false"/>
          <w:i w:val="false"/>
          <w:iCs w:val="false"/>
          <w:sz w:val="22"/>
          <w:szCs w:val="22"/>
        </w:rPr>
        <w:t xml:space="preserve"> Every entry carries a Mirror field as a required attribute. The Mirror takes one of three forms. </w:t>
      </w:r>
      <w:r>
        <w:rPr>
          <w:rFonts w:ascii="Arial" w:cs="Arial" w:eastAsia="Arial" w:hAnsi="Arial"/>
          <w:b w:val="false"/>
          <w:bCs w:val="false"/>
          <w:i/>
          <w:iCs/>
          <w:sz w:val="22"/>
          <w:szCs w:val="22"/>
        </w:rPr>
        <w:t xml:space="preserve">Mirror statement</w:t>
      </w:r>
      <w:r>
        <w:rPr>
          <w:rFonts w:ascii="Arial" w:cs="Arial" w:eastAsia="Arial" w:hAnsi="Arial"/>
          <w:b w:val="false"/>
          <w:bCs w:val="false"/>
          <w:i w:val="false"/>
          <w:iCs w:val="false"/>
          <w:sz w:val="22"/>
          <w:szCs w:val="22"/>
        </w:rPr>
        <w:t xml:space="preserve"> — where the law has a recognizable idol-ward expression with its own multi-author scriptural support, the Mirror names the inverse direction explicitly. </w:t>
      </w:r>
      <w:r>
        <w:rPr>
          <w:rFonts w:ascii="Arial" w:cs="Arial" w:eastAsia="Arial" w:hAnsi="Arial"/>
          <w:b w:val="false"/>
          <w:bCs w:val="false"/>
          <w:i/>
          <w:iCs/>
          <w:sz w:val="22"/>
          <w:szCs w:val="22"/>
        </w:rPr>
        <w:t xml:space="preserve">Constitutive marker</w:t>
      </w:r>
      <w:r>
        <w:rPr>
          <w:rFonts w:ascii="Arial" w:cs="Arial" w:eastAsia="Arial" w:hAnsi="Arial"/>
          <w:b w:val="false"/>
          <w:bCs w:val="false"/>
          <w:i w:val="false"/>
          <w:iCs w:val="false"/>
          <w:sz w:val="22"/>
          <w:szCs w:val="22"/>
        </w:rPr>
        <w:t xml:space="preserve"> — where the law's content is itself the orientation (FL.III Heart-Throne, FL.VIII Desire-for-God, FL.XIII Pure-Heart Vision, FL.XIV Vanity-of-Substitutes, Worship Alignment Law, Attention Economy of the Soul), the Mirror is the law itself. </w:t>
      </w:r>
      <w:r>
        <w:rPr>
          <w:rFonts w:ascii="Arial" w:cs="Arial" w:eastAsia="Arial" w:hAnsi="Arial"/>
          <w:b w:val="false"/>
          <w:bCs w:val="false"/>
          <w:i/>
          <w:iCs/>
          <w:sz w:val="22"/>
          <w:szCs w:val="22"/>
        </w:rPr>
        <w:t xml:space="preserve">Orientation-neutral marker</w:t>
      </w:r>
      <w:r>
        <w:rPr>
          <w:rFonts w:ascii="Arial" w:cs="Arial" w:eastAsia="Arial" w:hAnsi="Arial"/>
          <w:b w:val="false"/>
          <w:bCs w:val="false"/>
          <w:i w:val="false"/>
          <w:iCs w:val="false"/>
          <w:sz w:val="22"/>
          <w:szCs w:val="22"/>
        </w:rPr>
        <w:t xml:space="preserve"> — where the law's mechanism does not carry orientation (V1.Exp2 Nested Person Structure, V2.Exp2 Emotional Knot Law, V2.Exp6 Tool-Application, V2.Exp10 Skill Development, V2.Exp4 Sin Blockage Law, V1.Open Miracle Frame), the Mirror states this directly. The Mirror field's purpose is to make the orientation-of-pursuit dimension consistently visible at the entry level, per the third-axis test's recommendation. See the Third-Axis Test section below for the full reasoning.</w:t>
      </w:r>
    </w:p>
    <w:p>
      <w:pPr>
        <w:spacing w:after="160" w:line="300"/>
      </w:pPr>
      <w:r>
        <w:rPr>
          <w:rFonts w:ascii="Arial" w:cs="Arial" w:eastAsia="Arial" w:hAnsi="Arial"/>
          <w:b/>
          <w:bCs/>
          <w:i w:val="false"/>
          <w:iCs w:val="false"/>
          <w:sz w:val="22"/>
          <w:szCs w:val="22"/>
        </w:rPr>
        <w:t xml:space="preserve">Provenance prefixes:</w:t>
      </w:r>
      <w:r>
        <w:rPr>
          <w:rFonts w:ascii="Arial" w:cs="Arial" w:eastAsia="Arial" w:hAnsi="Arial"/>
          <w:b w:val="false"/>
          <w:bCs w:val="false"/>
          <w:i w:val="false"/>
          <w:iCs w:val="false"/>
          <w:sz w:val="22"/>
          <w:szCs w:val="22"/>
        </w:rPr>
        <w:t xml:space="preserve"> FL.I–XVII = Foundational Laws (current volume); V1.ExpN = Vol 1 Exploration N; V1.Open = Vol 1 Open Trail; V2.ExpN / V3.ExpN = forward references to Volume 2 or 3; SST / MSFIG / HFT = Formation Documents; Speculative = proposed but not yet held at a Vol 1 Exp level.</w:t>
      </w:r>
    </w:p>
    <w:p>
      <w:pPr>
        <w:spacing w:after="160" w:line="300"/>
      </w:pPr>
      <w:r>
        <w:rPr>
          <w:rFonts w:ascii="Arial" w:cs="Arial" w:eastAsia="Arial" w:hAnsi="Arial"/>
          <w:b/>
          <w:bCs/>
          <w:i w:val="false"/>
          <w:iCs w:val="false"/>
          <w:sz w:val="22"/>
          <w:szCs w:val="22"/>
        </w:rPr>
        <w:t xml:space="preserve">Other markers:</w:t>
      </w:r>
      <w:r>
        <w:rPr>
          <w:rFonts w:ascii="Arial" w:cs="Arial" w:eastAsia="Arial" w:hAnsi="Arial"/>
          <w:b w:val="false"/>
          <w:bCs w:val="false"/>
          <w:i w:val="false"/>
          <w:iCs w:val="false"/>
          <w:sz w:val="22"/>
          <w:szCs w:val="22"/>
        </w:rPr>
        <w:t xml:space="preserve"> ⚠ = anomalous placement; [ OPEN UNKNOWN ] = predicted gap, not yet developed. → See Vol 3 Preview appendix = entry deferred to the appendix at the end of this volume.</w:t>
      </w:r>
    </w:p>
    <w:p>
      <w:pPr>
        <w:spacing w:after="160" w:line="300"/>
      </w:pPr>
      <w:r>
        <w:rPr>
          <w:rFonts w:ascii="Arial" w:cs="Arial" w:eastAsia="Arial" w:hAnsi="Arial"/>
          <w:b/>
          <w:bCs/>
          <w:i w:val="false"/>
          <w:iCs w:val="false"/>
          <w:sz w:val="22"/>
          <w:szCs w:val="22"/>
        </w:rPr>
        <w:t xml:space="preserve">Reference list:</w:t>
      </w:r>
      <w:r>
        <w:rPr>
          <w:rFonts w:ascii="Arial" w:cs="Arial" w:eastAsia="Arial" w:hAnsi="Arial"/>
          <w:b w:val="false"/>
          <w:bCs w:val="false"/>
          <w:i w:val="false"/>
          <w:iCs w:val="false"/>
          <w:sz w:val="22"/>
          <w:szCs w:val="22"/>
        </w:rPr>
        <w:t xml:space="preserve"> Each entry's description, scriptural anchors, and Mirror field appears in the numbered reference list following this table, ordered by Period and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999999" w:sz="4"/>
              <w:left w:val="single" w:color="999999" w:sz="4"/>
              <w:bottom w:val="single" w:color="999999" w:sz="4"/>
              <w:right w:val="single" w:color="999999" w:sz="4"/>
            </w:tcBorders>
            <w:shd w:fill="E0E0E0" w:color="auto" w:val="clear"/>
            <w:tcMar>
              <w:top w:type="dxa" w:w="80"/>
              <w:left w:type="dxa" w:w="100"/>
              <w:bottom w:type="dxa" w:w="80"/>
              <w:right w:type="dxa" w:w="100"/>
            </w:tcMar>
          </w:tcPr>
          <w:p>
            <w:pPr>
              <w:spacing w:after="0"/>
            </w:pPr>
            <w:r>
              <w:rPr>
                <w:rFonts w:ascii="Arial" w:cs="Arial" w:eastAsia="Arial" w:hAnsi="Arial"/>
                <w:b/>
                <w:bCs/>
                <w:sz w:val="18"/>
                <w:szCs w:val="18"/>
              </w:rPr>
              <w:t xml:space="preserve"/>
            </w:r>
          </w:p>
        </w:tc>
        <w:tc>
          <w:tcPr>
            <w:tcW w:type="dxa" w:w="1337"/>
            <w:tcBorders>
              <w:top w:val="single" w:color="999999" w:sz="4"/>
              <w:left w:val="single" w:color="999999" w:sz="4"/>
              <w:bottom w:val="single" w:color="999999" w:sz="4"/>
              <w:right w:val="single" w:color="999999" w:sz="4"/>
            </w:tcBorders>
            <w:shd w:fill="E0E0E0" w:color="auto" w:val="clear"/>
            <w:tcMar>
              <w:top w:type="dxa" w:w="80"/>
              <w:left w:type="dxa" w:w="100"/>
              <w:bottom w:type="dxa" w:w="80"/>
              <w:right w:type="dxa" w:w="100"/>
            </w:tcMar>
          </w:tcPr>
          <w:p>
            <w:pPr>
              <w:spacing w:after="0"/>
            </w:pPr>
            <w:r>
              <w:rPr>
                <w:rFonts w:ascii="Arial" w:cs="Arial" w:eastAsia="Arial" w:hAnsi="Arial"/>
                <w:b/>
                <w:bCs/>
                <w:sz w:val="18"/>
                <w:szCs w:val="18"/>
              </w:rPr>
              <w:t xml:space="preserve"/>
            </w:r>
          </w:p>
        </w:tc>
        <w:tc>
          <w:tcPr>
            <w:tcW w:type="dxa" w:w="1337"/>
            <w:tcBorders>
              <w:top w:val="single" w:color="999999" w:sz="4"/>
              <w:left w:val="single" w:color="999999" w:sz="4"/>
              <w:bottom w:val="single" w:color="999999" w:sz="4"/>
              <w:right w:val="single" w:color="999999" w:sz="4"/>
            </w:tcBorders>
            <w:shd w:fill="E0E0E0" w:color="auto" w:val="clear"/>
            <w:tcMar>
              <w:top w:type="dxa" w:w="80"/>
              <w:left w:type="dxa" w:w="100"/>
              <w:bottom w:type="dxa" w:w="80"/>
              <w:right w:type="dxa" w:w="100"/>
            </w:tcMar>
          </w:tcPr>
          <w:p>
            <w:pPr>
              <w:spacing w:after="0"/>
            </w:pPr>
            <w:r>
              <w:rPr>
                <w:rFonts w:ascii="Arial" w:cs="Arial" w:eastAsia="Arial" w:hAnsi="Arial"/>
                <w:b/>
                <w:bCs/>
                <w:sz w:val="18"/>
                <w:szCs w:val="18"/>
              </w:rPr>
              <w:t xml:space="preserve"/>
            </w:r>
          </w:p>
        </w:tc>
        <w:tc>
          <w:tcPr>
            <w:tcW w:type="dxa" w:w="1337"/>
            <w:tcBorders>
              <w:top w:val="single" w:color="999999" w:sz="4"/>
              <w:left w:val="single" w:color="999999" w:sz="4"/>
              <w:bottom w:val="single" w:color="999999" w:sz="4"/>
              <w:right w:val="single" w:color="999999" w:sz="4"/>
            </w:tcBorders>
            <w:shd w:fill="E0E0E0" w:color="auto" w:val="clear"/>
            <w:tcMar>
              <w:top w:type="dxa" w:w="80"/>
              <w:left w:type="dxa" w:w="100"/>
              <w:bottom w:type="dxa" w:w="80"/>
              <w:right w:type="dxa" w:w="100"/>
            </w:tcMar>
          </w:tcPr>
          <w:p>
            <w:pPr>
              <w:spacing w:after="0"/>
            </w:pPr>
            <w:r>
              <w:rPr>
                <w:rFonts w:ascii="Arial" w:cs="Arial" w:eastAsia="Arial" w:hAnsi="Arial"/>
                <w:b/>
                <w:bCs/>
                <w:sz w:val="18"/>
                <w:szCs w:val="18"/>
              </w:rPr>
              <w:t xml:space="preserve"/>
            </w:r>
          </w:p>
        </w:tc>
        <w:tc>
          <w:tcPr>
            <w:tcW w:type="dxa" w:w="1337"/>
            <w:tcBorders>
              <w:top w:val="single" w:color="999999" w:sz="4"/>
              <w:left w:val="single" w:color="999999" w:sz="4"/>
              <w:bottom w:val="single" w:color="999999" w:sz="4"/>
              <w:right w:val="single" w:color="999999" w:sz="4"/>
            </w:tcBorders>
            <w:shd w:fill="E0E0E0" w:color="auto" w:val="clear"/>
            <w:tcMar>
              <w:top w:type="dxa" w:w="80"/>
              <w:left w:type="dxa" w:w="100"/>
              <w:bottom w:type="dxa" w:w="80"/>
              <w:right w:type="dxa" w:w="100"/>
            </w:tcMar>
          </w:tcPr>
          <w:p>
            <w:pPr>
              <w:spacing w:after="0"/>
            </w:pPr>
            <w:r>
              <w:rPr>
                <w:rFonts w:ascii="Arial" w:cs="Arial" w:eastAsia="Arial" w:hAnsi="Arial"/>
                <w:b/>
                <w:bCs/>
                <w:sz w:val="18"/>
                <w:szCs w:val="18"/>
              </w:rPr>
              <w:t xml:space="preserve"/>
            </w:r>
          </w:p>
        </w:tc>
        <w:tc>
          <w:tcPr>
            <w:tcW w:type="dxa" w:w="1337"/>
            <w:tcBorders>
              <w:top w:val="single" w:color="999999" w:sz="4"/>
              <w:left w:val="single" w:color="999999" w:sz="4"/>
              <w:bottom w:val="single" w:color="999999" w:sz="4"/>
              <w:right w:val="single" w:color="999999" w:sz="4"/>
            </w:tcBorders>
            <w:shd w:fill="E0E0E0" w:color="auto" w:val="clear"/>
            <w:tcMar>
              <w:top w:type="dxa" w:w="80"/>
              <w:left w:type="dxa" w:w="100"/>
              <w:bottom w:type="dxa" w:w="80"/>
              <w:right w:type="dxa" w:w="100"/>
            </w:tcMar>
          </w:tcPr>
          <w:p>
            <w:pPr>
              <w:spacing w:after="0"/>
            </w:pPr>
            <w:r>
              <w:rPr>
                <w:rFonts w:ascii="Arial" w:cs="Arial" w:eastAsia="Arial" w:hAnsi="Arial"/>
                <w:b/>
                <w:bCs/>
                <w:sz w:val="18"/>
                <w:szCs w:val="18"/>
              </w:rPr>
              <w:t xml:space="preserve"/>
            </w:r>
          </w:p>
        </w:tc>
        <w:tc>
          <w:tcPr>
            <w:tcW w:type="dxa" w:w="1338"/>
            <w:tcBorders>
              <w:top w:val="single" w:color="999999" w:sz="4"/>
              <w:left w:val="single" w:color="999999" w:sz="4"/>
              <w:bottom w:val="single" w:color="999999" w:sz="4"/>
              <w:right w:val="single" w:color="999999" w:sz="4"/>
            </w:tcBorders>
            <w:shd w:fill="E0E0E0" w:color="auto" w:val="clear"/>
            <w:tcMar>
              <w:top w:type="dxa" w:w="80"/>
              <w:left w:type="dxa" w:w="100"/>
              <w:bottom w:type="dxa" w:w="80"/>
              <w:right w:type="dxa" w:w="100"/>
            </w:tcMar>
          </w:tcPr>
          <w:p>
            <w:pPr>
              <w:spacing w:after="0"/>
            </w:pPr>
            <w:r>
              <w:rPr>
                <w:rFonts w:ascii="Arial" w:cs="Arial" w:eastAsia="Arial" w:hAnsi="Arial"/>
                <w:b/>
                <w:bCs/>
                <w:sz w:val="18"/>
                <w:szCs w:val="18"/>
              </w:rPr>
              <w:t xml:space="preserve"/>
            </w:r>
          </w:p>
        </w:tc>
      </w:tr>
      <w:tr>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r>
              <w:rPr>
                <w:rFonts w:ascii="Arial" w:cs="Arial" w:eastAsia="Arial" w:hAnsi="Arial"/>
                <w:b w:val="false"/>
                <w:bCs w:val="false"/>
                <w:sz w:val="18"/>
                <w:szCs w:val="18"/>
              </w:rPr>
              <w:t xml:space="preserve"/>
            </w:r>
            <w:r>
              <w:rPr>
                <w:rFonts w:ascii="Arial" w:cs="Arial" w:eastAsia="Arial" w:hAnsi="Arial"/>
                <w:b w:val="false"/>
                <w:bCs w:val="false"/>
                <w:sz w:val="18"/>
                <w:szCs w:val="18"/>
              </w:rPr>
              <w:t xml:space="preserve"/>
            </w:r>
          </w:p>
        </w:tc>
        <w:tc>
          <w:tcPr>
            <w:tcW w:type="dxa" w:w="1338"/>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r>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r>
              <w:rPr>
                <w:rFonts w:ascii="Arial" w:cs="Arial" w:eastAsia="Arial" w:hAnsi="Arial"/>
                <w:b w:val="false"/>
                <w:bCs w:val="false"/>
                <w:sz w:val="18"/>
                <w:szCs w:val="18"/>
              </w:rPr>
              <w:t xml:space="preserve"/>
            </w: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8"/>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r>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r>
              <w:rPr>
                <w:rFonts w:ascii="Arial" w:cs="Arial" w:eastAsia="Arial" w:hAnsi="Arial"/>
                <w:b w:val="false"/>
                <w:bCs w:val="false"/>
                <w:sz w:val="18"/>
                <w:szCs w:val="18"/>
              </w:rPr>
              <w:t xml:space="preserve"/>
            </w: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8"/>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r>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8"/>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r>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r>
              <w:rPr>
                <w:rFonts w:ascii="Arial" w:cs="Arial" w:eastAsia="Arial" w:hAnsi="Arial"/>
                <w:b w:val="false"/>
                <w:bCs w:val="false"/>
                <w:sz w:val="18"/>
                <w:szCs w:val="18"/>
              </w:rPr>
              <w:t xml:space="preserve"/>
            </w: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8"/>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r>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7"/>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1338"/>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bl>
    <w:p>
      <w:pPr>
        <w:spacing w:after="120"/>
      </w:pPr>
      <w:r>
        <w:rPr>
          <w:rFonts w:ascii="Arial" w:cs="Arial" w:eastAsia="Arial" w:hAnsi="Arial"/>
          <w:sz w:val="22"/>
          <w:szCs w:val="22"/>
        </w:rPr>
        <w:t xml:space="preserve"/>
      </w:r>
    </w:p>
    <w:p>
      <w:pPr>
        <w:spacing w:after="160" w:line="300"/>
      </w:pPr>
      <w:r>
        <w:rPr>
          <w:rFonts w:ascii="Arial" w:cs="Arial" w:eastAsia="Arial" w:hAnsi="Arial"/>
          <w:b w:val="false"/>
          <w:bCs w:val="false"/>
          <w:i/>
          <w:iCs/>
          <w:sz w:val="22"/>
          <w:szCs w:val="22"/>
        </w:rPr>
        <w:t xml:space="preserve">Bolded entries are new in v5_6_0_5 from the third-axis test (four new Foundational Laws and one new Speculative entry).</w:t>
      </w:r>
    </w:p>
    <w:p>
      <w:pPr>
        <w:pStyle w:val="Heading2"/>
        <w:spacing w:after="160" w:before="240"/>
      </w:pPr>
      <w:r>
        <w:rPr>
          <w:rFonts w:ascii="Arial" w:cs="Arial" w:eastAsia="Arial" w:hAnsi="Arial"/>
          <w:b/>
          <w:bCs/>
          <w:sz w:val="30"/>
          <w:szCs w:val="30"/>
        </w:rPr>
        <w:t xml:space="preserve">Reference List for the Periodic Table</w:t>
      </w:r>
    </w:p>
    <w:p>
      <w:pPr>
        <w:spacing w:after="160" w:line="300"/>
      </w:pPr>
      <w:r>
        <w:rPr>
          <w:rFonts w:ascii="Arial" w:cs="Arial" w:eastAsia="Arial" w:hAnsi="Arial"/>
          <w:b w:val="false"/>
          <w:bCs w:val="false"/>
          <w:i w:val="false"/>
          <w:iCs w:val="false"/>
          <w:sz w:val="22"/>
          <w:szCs w:val="22"/>
        </w:rPr>
        <w:t xml:space="preserve">Each non-Vol-3 entry from the table above appears below in Period/Group order. Vol 3 forward-references are listed separately in the Vol 3 Preview appendix at the end of the volume. Each entry includes a Mirror field per v5_6_0_5 of this chapter; entries that are themselves constitutively orientation-shaped (Heart-Throne, Desire-for-God, Pure-Heart Vision, Vanity-of-Substitutes, Hardening, Bondage, Substitution-Cascade, Worship Alignment, Attention Economy of the Soul) have a Mirror that names the constitutive bidirectional structure; entries whose mechanism does not carry orientation have a Mirror that states this directly.</w:t>
      </w:r>
    </w:p>
    <w:p>
      <w:pPr>
        <w:pStyle w:val="Heading3"/>
        <w:spacing w:after="160" w:before="240"/>
      </w:pPr>
      <w:r>
        <w:rPr>
          <w:rFonts w:ascii="Arial" w:cs="Arial" w:eastAsia="Arial" w:hAnsi="Arial"/>
          <w:b/>
          <w:bCs/>
          <w:sz w:val="26"/>
          <w:szCs w:val="26"/>
        </w:rPr>
        <w:t xml:space="preserve">PERIOD 0 — Scale-Invariant</w:t>
      </w:r>
    </w:p>
    <w:p>
      <w:pPr>
        <w:spacing w:after="160" w:line="300"/>
      </w:pPr>
      <w:r>
        <w:rPr>
          <w:rFonts w:ascii="Arial" w:cs="Arial" w:eastAsia="Arial" w:hAnsi="Arial"/>
          <w:b/>
          <w:bCs/>
          <w:i w:val="false"/>
          <w:iCs w:val="false"/>
          <w:sz w:val="22"/>
          <w:szCs w:val="22"/>
        </w:rPr>
        <w:t xml:space="preserve">P0/GI · FL.XV (Foundational) — Hardening Law (V), Clearly Taught</w:t>
      </w:r>
    </w:p>
    <w:p>
      <w:pPr>
        <w:spacing w:after="160" w:line="300"/>
      </w:pPr>
      <w:r>
        <w:rPr>
          <w:rFonts w:ascii="Arial" w:cs="Arial" w:eastAsia="Arial" w:hAnsi="Arial"/>
          <w:b w:val="false"/>
          <w:bCs w:val="false"/>
          <w:i w:val="false"/>
          <w:iCs w:val="false"/>
          <w:sz w:val="22"/>
          <w:szCs w:val="22"/>
        </w:rPr>
        <w:t xml:space="preserve">Sustained refusal of God-ward orientation progressively reduces the heart's responsiveness to truth, eventually closing the channel; the closure is incremental, cumulative, and reaches a point past which external intervention is required (Heb. 3:7–15; Prov. 29:1). Asymmetric in time and operating without conscious recognition by the participant in the middle of it. Scale-invariant (P0); operates at individual (Pharaoh, Mark's disciples), community (the wilderness generation), and arguably generational scales. Pairs with V1.Exp6 Obedience Channel as a wider law in the same family. New in v5_6_0_5 from the third-axis test.</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Hardening Law has no Mirror in the orientation-of-pursuit sense; it is itself the idol-ward face of the responsiveness-growth dynamic that V1.Exp6 Obedience Channel and FL.VII Drawing-Near Reciprocity name from the God-ward side. The God-ward face is the sustained responsiveness that grows the heart's capacity to receive (Heb. 3:13 "today" structure; Prov. 4:18 path of the just shining brighter); the idol-ward face is the cumulative-trajectory reduction this law names. Same mechanism, two directions of pursuit.</w:t>
      </w:r>
    </w:p>
    <w:p>
      <w:pPr>
        <w:spacing w:after="160" w:line="300"/>
      </w:pPr>
      <w:r>
        <w:rPr>
          <w:rFonts w:ascii="Arial" w:cs="Arial" w:eastAsia="Arial" w:hAnsi="Arial"/>
          <w:b/>
          <w:bCs/>
          <w:i w:val="false"/>
          <w:iCs w:val="false"/>
          <w:sz w:val="22"/>
          <w:szCs w:val="22"/>
        </w:rPr>
        <w:t xml:space="preserve">P0/GV · FL.VI (Foundational) — Hear-and-Obey Blessing Law (V), Clearly Taught</w:t>
      </w:r>
    </w:p>
    <w:p>
      <w:pPr>
        <w:spacing w:after="160" w:line="300"/>
      </w:pPr>
      <w:r>
        <w:rPr>
          <w:rFonts w:ascii="Arial" w:cs="Arial" w:eastAsia="Arial" w:hAnsi="Arial"/>
          <w:b w:val="false"/>
          <w:bCs w:val="false"/>
          <w:i w:val="false"/>
          <w:iCs w:val="false"/>
          <w:sz w:val="22"/>
          <w:szCs w:val="22"/>
        </w:rPr>
        <w:t xml:space="preserve">Hearing the word of God and doing it produces blessedness and flourishing of the form proper to the unit operating in the law; hearing without doing forfeits the blessing. Scale-invariant (P0).</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FL.XVI Bondage Law at P0/GV is the structural counterpart of FL.VI in the same scale-invariant location: the same obedience-constitutes-state mechanism viewed from the other direction of pursuit. Sustained obedience to God's word produces blessedness; sustained obedience to sin's claim produces bondage (Rom. 6:16). Hearing without doing forfeits the blessing in the FL.VI register and operates as the entry point of the FL.XVI bondage trajectory under sustained refusal.</w:t>
      </w:r>
    </w:p>
    <w:p>
      <w:pPr>
        <w:spacing w:after="160" w:line="300"/>
      </w:pPr>
      <w:r>
        <w:rPr>
          <w:rFonts w:ascii="Arial" w:cs="Arial" w:eastAsia="Arial" w:hAnsi="Arial"/>
          <w:b/>
          <w:bCs/>
          <w:i w:val="false"/>
          <w:iCs w:val="false"/>
          <w:sz w:val="22"/>
          <w:szCs w:val="22"/>
        </w:rPr>
        <w:t xml:space="preserve">P0/GV · FL.XVI (Foundational) — Bondage Law (B), Clearly Taught</w:t>
      </w:r>
    </w:p>
    <w:p>
      <w:pPr>
        <w:spacing w:after="160" w:line="300"/>
      </w:pPr>
      <w:r>
        <w:rPr>
          <w:rFonts w:ascii="Arial" w:cs="Arial" w:eastAsia="Arial" w:hAnsi="Arial"/>
          <w:b w:val="false"/>
          <w:bCs w:val="false"/>
          <w:i w:val="false"/>
          <w:iCs w:val="false"/>
          <w:sz w:val="22"/>
          <w:szCs w:val="22"/>
        </w:rPr>
        <w:t xml:space="preserve">Sustained obedience to sin constitutes the obeyer as the slave of sin; the obeyer becomes the slave of whatever the obeyer obeys, with the slavery growing in proportion to the duration and intensity of the obeying (Rom. 6:16; John 8:34; 2 Pet. 2:19; Prov. 5:22). The obedience constitutes the slavery rather than producing it as consequence. The bondage compounds across instances; freedom from a master to whom one has been enslaved requires deliverance, transferred obedience to another master, or both (Rom. 6:22). Scale-invariant (P0). New in v5_6_0_5 from the third-axis test.</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FL.VI Hear-and-Obey Blessing is the God-ward face of FL.XVI's idol-ward bondage. Same obedience-constitutes-state mechanism; opposite Object of obedience; opposite output (blessing vs. bondage). The two laws together cover the bidirectional whole of the obedience-constitutes-state dynamic at P0/GV.</w:t>
      </w:r>
    </w:p>
    <w:p>
      <w:pPr>
        <w:spacing w:after="160" w:line="300"/>
      </w:pPr>
      <w:r>
        <w:rPr>
          <w:rFonts w:ascii="Arial" w:cs="Arial" w:eastAsia="Arial" w:hAnsi="Arial"/>
          <w:b/>
          <w:bCs/>
          <w:i w:val="false"/>
          <w:iCs w:val="false"/>
          <w:sz w:val="22"/>
          <w:szCs w:val="22"/>
        </w:rPr>
        <w:t xml:space="preserve">P0/GV · FL.IX (Foundational) — Generosity-Provision Law (B), Clearly Taught</w:t>
      </w:r>
    </w:p>
    <w:p>
      <w:pPr>
        <w:spacing w:after="160" w:line="300"/>
      </w:pPr>
      <w:r>
        <w:rPr>
          <w:rFonts w:ascii="Arial" w:cs="Arial" w:eastAsia="Arial" w:hAnsi="Arial"/>
          <w:b w:val="false"/>
          <w:bCs w:val="false"/>
          <w:i w:val="false"/>
          <w:iCs w:val="false"/>
          <w:sz w:val="22"/>
          <w:szCs w:val="22"/>
        </w:rPr>
        <w:t xml:space="preserve">Generous giving evokes provision toward the giver, in varied forms, with characteristic time delay. Withholding evokes the inverse. Specialization of Sowing-and-Reaping in the material/relational substrate. Scale-invariant (P0); bidirectional in the relational sense (operates both vertically as God's provision to the giver and horizontally as the giver's effect on the receiving community).</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idol-ward face of FL.IX is mammon-as-throne — the love of money operating as a competing sovereignty that closes the generosity channel at its source (Matt. 6:24 "you cannot serve God and money"; 1 Tim. 6:10 the love of money as a root of all kinds of evils; Luke 12:15ff the rich fool's possession-anxiety). The withholding the law names in its negative direction is not merely the absence of generosity; it is the operation of an alternative sovereignty over the same heart that the FL.IX positive direction has invited to operate under God-ward provision.</w:t>
      </w:r>
    </w:p>
    <w:p>
      <w:pPr>
        <w:spacing w:after="160" w:line="300"/>
      </w:pPr>
      <w:r>
        <w:rPr>
          <w:rFonts w:ascii="Arial" w:cs="Arial" w:eastAsia="Arial" w:hAnsi="Arial"/>
          <w:b/>
          <w:bCs/>
          <w:i w:val="false"/>
          <w:iCs w:val="false"/>
          <w:sz w:val="22"/>
          <w:szCs w:val="22"/>
        </w:rPr>
        <w:t xml:space="preserve">P0/GVI · FL.I (Foundational) — Sowing-and-Reaping Law (B), Clearly Taught</w:t>
      </w:r>
    </w:p>
    <w:p>
      <w:pPr>
        <w:spacing w:after="160" w:line="300"/>
      </w:pPr>
      <w:r>
        <w:rPr>
          <w:rFonts w:ascii="Arial" w:cs="Arial" w:eastAsia="Arial" w:hAnsi="Arial"/>
          <w:b w:val="false"/>
          <w:bCs w:val="false"/>
          <w:i w:val="false"/>
          <w:iCs w:val="false"/>
          <w:sz w:val="22"/>
          <w:szCs w:val="22"/>
        </w:rPr>
        <w:t xml:space="preserve">What a person, community, or generation sows, that unit reaps — in kind, in degree, with characteristic time delay. Scale-invariant; bidirectional in the relational sense. Anchor entry for the Period 0 row.</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orientation-of-pursuit reading of FL.I distinguishes two directions of sowing. Sowing to the Spirit (Gal. 6:8b) reaps the harvest of righteousness (Hos. 10:12) and eternal life; sowing to the flesh (Gal. 6:8a) reaps corruption, with the wind sown reaping the whirlwind (Hos. 8:7) and injustice sown reaping calamity (Prov. 22:8). The Pauline "flesh" names idol-ward orientation in its embodied expression — the heart oriented away from the Spirit's leading toward self-rule. Same mechanism (sowing constitutes reaping in kind); two directions of pursuit (Spirit-ward, flesh-ward); two characteristic outputs (life, corruption).</w:t>
      </w:r>
    </w:p>
    <w:p>
      <w:pPr>
        <w:pStyle w:val="Heading3"/>
        <w:spacing w:after="160" w:before="240"/>
      </w:pPr>
      <w:r>
        <w:rPr>
          <w:rFonts w:ascii="Arial" w:cs="Arial" w:eastAsia="Arial" w:hAnsi="Arial"/>
          <w:b/>
          <w:bCs/>
          <w:sz w:val="26"/>
          <w:szCs w:val="26"/>
        </w:rPr>
        <w:t xml:space="preserve">PERIOD 1 — Individual (sole actor)</w:t>
      </w:r>
    </w:p>
    <w:p>
      <w:pPr>
        <w:spacing w:after="160" w:line="300"/>
      </w:pPr>
      <w:r>
        <w:rPr>
          <w:rFonts w:ascii="Arial" w:cs="Arial" w:eastAsia="Arial" w:hAnsi="Arial"/>
          <w:b/>
          <w:bCs/>
          <w:i w:val="false"/>
          <w:iCs w:val="false"/>
          <w:sz w:val="22"/>
          <w:szCs w:val="22"/>
        </w:rPr>
        <w:t xml:space="preserve">P1/GI · V1.Exp5 (Gateway) — Fear of the Lord (V), Clearly Taught</w:t>
      </w:r>
    </w:p>
    <w:p>
      <w:pPr>
        <w:spacing w:after="160" w:line="300"/>
      </w:pPr>
      <w:r>
        <w:rPr>
          <w:rFonts w:ascii="Arial" w:cs="Arial" w:eastAsia="Arial" w:hAnsi="Arial"/>
          <w:b w:val="false"/>
          <w:bCs w:val="false"/>
          <w:i w:val="false"/>
          <w:iCs w:val="false"/>
          <w:sz w:val="22"/>
          <w:szCs w:val="22"/>
        </w:rPr>
        <w:t xml:space="preserve">Logically prior entry condition for the entire Wisdom cluster; without it, apparent wisdom is cleverness from a distorted reference point.</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"Fools despise wisdom and instruction" (Prov. 1:7b). Despising the Lord is the gateway-blocking condition: it does not produce a different output; it produces the absence of the Wisdom-cluster output entirely. The orientation reading: fear of the Lord vs. fear of man (Prov. 29:25; Isa. 8:12–13) is the operational orientation distinction. The heart oriented under right reverence of God enters the Wisdom cluster; the heart oriented under fear of any other Object (typically self-protective fear of social consequence) is structurally blocked from the same cluster.</w:t>
      </w:r>
    </w:p>
    <w:p>
      <w:pPr>
        <w:spacing w:after="160" w:line="300"/>
      </w:pPr>
      <w:r>
        <w:rPr>
          <w:rFonts w:ascii="Arial" w:cs="Arial" w:eastAsia="Arial" w:hAnsi="Arial"/>
          <w:b/>
          <w:bCs/>
          <w:i w:val="false"/>
          <w:iCs w:val="false"/>
          <w:sz w:val="22"/>
          <w:szCs w:val="22"/>
        </w:rPr>
        <w:t xml:space="preserve">P1/GI · FL.VII (Foundational) — Drawing-Near Reciprocity Law (V), Clearly Taught</w:t>
      </w:r>
    </w:p>
    <w:p>
      <w:pPr>
        <w:spacing w:after="160" w:line="300"/>
      </w:pPr>
      <w:r>
        <w:rPr>
          <w:rFonts w:ascii="Arial" w:cs="Arial" w:eastAsia="Arial" w:hAnsi="Arial"/>
          <w:b w:val="false"/>
          <w:bCs w:val="false"/>
          <w:i w:val="false"/>
          <w:iCs w:val="false"/>
          <w:sz w:val="22"/>
          <w:szCs w:val="22"/>
        </w:rPr>
        <w:t xml:space="preserve">Active movement toward God evokes God's movement toward the person; turning away evokes withdrawal. The clearest example of reciprocity-of-response, the fourth periodicity.</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Turning away from God produces God's withdrawal — the law's negative direction, named in the same verse as its positive at 2 Chron. 15:2 ("the Lord is with you while you are with him. If you seek him, he will be found by you, but if you forsake him, he will forsake you"). The turning-away is structurally idol-ward: the heart turns toward an alternative Object. The canonical biblical pattern of the prophets — Israel turning to other gods evokes the withdrawal the prophets repeatedly diagnose — is the corporate-scale operation of the same dynamic FL.VII names at the individual scale.</w:t>
      </w:r>
    </w:p>
    <w:p>
      <w:pPr>
        <w:spacing w:after="160" w:line="300"/>
      </w:pPr>
      <w:r>
        <w:rPr>
          <w:rFonts w:ascii="Arial" w:cs="Arial" w:eastAsia="Arial" w:hAnsi="Arial"/>
          <w:b/>
          <w:bCs/>
          <w:i w:val="false"/>
          <w:iCs w:val="false"/>
          <w:sz w:val="22"/>
          <w:szCs w:val="22"/>
        </w:rPr>
        <w:t xml:space="preserve">P1/GI · FL.X (Foundational) — Ask-Seek-Knock Law (V), Clearly Taught</w:t>
      </w:r>
    </w:p>
    <w:p>
      <w:pPr>
        <w:spacing w:after="160" w:line="300"/>
      </w:pPr>
      <w:r>
        <w:rPr>
          <w:rFonts w:ascii="Arial" w:cs="Arial" w:eastAsia="Arial" w:hAnsi="Arial"/>
          <w:b w:val="false"/>
          <w:bCs w:val="false"/>
          <w:i w:val="false"/>
          <w:iCs w:val="false"/>
          <w:sz w:val="22"/>
          <w:szCs w:val="22"/>
        </w:rPr>
        <w:t xml:space="preserve">Persistent, faith-filled asking in alignment with God's character produces receiving; asking from wrong motive (James 4:3) does not. Threshold form of the prayer mechanism; parent-child pair with the Prayer Resonance Law at P2/GI.</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Asking from wrong motive (Jas. 4:3 "to spend it on your passions") is the idol-ward face the law itself names. The request is shaped by the heart's competing Object; the asking does not produce receiving because the asking is in the service of the competing Object rather than in alignment with God's character. Jas. 4:4's immediate sequel ("friendship with the world is enmity with God") names the orientation-of-pursuit dynamic explicitly. The idol-ward face is not non-asking; it is asking-for-idol-ward-ends, which produces non-receiving by the same mechanism FL.X describes.</w:t>
      </w:r>
    </w:p>
    <w:p>
      <w:pPr>
        <w:spacing w:after="160" w:line="300"/>
      </w:pPr>
      <w:r>
        <w:rPr>
          <w:rFonts w:ascii="Arial" w:cs="Arial" w:eastAsia="Arial" w:hAnsi="Arial"/>
          <w:b/>
          <w:bCs/>
          <w:i w:val="false"/>
          <w:iCs w:val="false"/>
          <w:sz w:val="22"/>
          <w:szCs w:val="22"/>
        </w:rPr>
        <w:t xml:space="preserve">P1/GII · V1.Exp1 — Faith Generation (Hearing Chain) (V), Reasonably Inferred</w:t>
      </w:r>
    </w:p>
    <w:p>
      <w:pPr>
        <w:spacing w:after="160" w:line="300"/>
      </w:pPr>
      <w:r>
        <w:rPr>
          <w:rFonts w:ascii="Arial" w:cs="Arial" w:eastAsia="Arial" w:hAnsi="Arial"/>
          <w:b w:val="false"/>
          <w:bCs w:val="false"/>
          <w:i w:val="false"/>
          <w:iCs w:val="false"/>
          <w:sz w:val="22"/>
          <w:szCs w:val="22"/>
        </w:rPr>
        <w:t xml:space="preserve">Word → Hearing → Faith; genuine willingness to obey activates the chain; disobedience degrades it.</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hearing chain operates wherever sustained attention to a source produces faith in what the source says. Hearing chains directed toward false gospels produce faith in falsehood: 2 Tim. 4:3–4 names the dynamic explicitly (people accumulating teachers to suit their own passions, turning away from listening to truth, wandering off into myths); 2 Thess. 2:11–12 names the divine-side correlate (God sending a strong delusion to those who refused to love the truth). The mechanism is the same Word → Hearing → Faith chain; the input determines the output. The God-ward face is faith generated by hearing the word of Christ (Rom. 10:17); the idol-ward face is faith generated by sustained hearing of any other Object that claims the heart's allegiance.</w:t>
      </w:r>
    </w:p>
    <w:p>
      <w:pPr>
        <w:spacing w:after="160" w:line="300"/>
      </w:pPr>
      <w:r>
        <w:rPr>
          <w:rFonts w:ascii="Arial" w:cs="Arial" w:eastAsia="Arial" w:hAnsi="Arial"/>
          <w:b/>
          <w:bCs/>
          <w:i w:val="false"/>
          <w:iCs w:val="false"/>
          <w:sz w:val="22"/>
          <w:szCs w:val="22"/>
        </w:rPr>
        <w:t xml:space="preserve">P1/GII · V1.Exp3 — Faith-Hope-Love Triad (V), Reasonably Inferred</w:t>
      </w:r>
    </w:p>
    <w:p>
      <w:pPr>
        <w:spacing w:after="160" w:line="300"/>
      </w:pPr>
      <w:r>
        <w:rPr>
          <w:rFonts w:ascii="Arial" w:cs="Arial" w:eastAsia="Arial" w:hAnsi="Arial"/>
          <w:b w:val="false"/>
          <w:bCs w:val="false"/>
          <w:i w:val="false"/>
          <w:iCs w:val="false"/>
          <w:sz w:val="22"/>
          <w:szCs w:val="22"/>
        </w:rPr>
        <w:t xml:space="preserve">Mutually reinforcing triad: Faith generates Hope; Hope enables Love; Love deepens Faith. Self-reinforcing upward and self-degrading downward.</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triad's idol-ward face is the self-degrading downward direction the law itself names. Misplaced trust corrupts hope; corrupted hope deforms love; deformed love undermines further trust. Jer. 17:5–8 names both directions in a single oracle: the man whose trust is in man, who makes flesh his strength and turns the heart from the Lord, is "like a shrub in the desert" — the inverse of the man whose trust is in the Lord, who is "like a tree planted by water." Same triadic mechanism; opposite directions of trust; opposite outcomes (flourishing vs. withering).</w:t>
      </w:r>
    </w:p>
    <w:p>
      <w:pPr>
        <w:spacing w:after="160" w:line="300"/>
      </w:pPr>
      <w:r>
        <w:rPr>
          <w:rFonts w:ascii="Arial" w:cs="Arial" w:eastAsia="Arial" w:hAnsi="Arial"/>
          <w:b/>
          <w:bCs/>
          <w:i w:val="false"/>
          <w:iCs w:val="false"/>
          <w:sz w:val="22"/>
          <w:szCs w:val="22"/>
        </w:rPr>
        <w:t xml:space="preserve">P1/GII · FL.III (Foundational) — Heart-Throne Law (B), Clearly Taught</w:t>
      </w:r>
    </w:p>
    <w:p>
      <w:pPr>
        <w:spacing w:after="160" w:line="300"/>
      </w:pPr>
      <w:r>
        <w:rPr>
          <w:rFonts w:ascii="Arial" w:cs="Arial" w:eastAsia="Arial" w:hAnsi="Arial"/>
          <w:b w:val="false"/>
          <w:bCs w:val="false"/>
          <w:i w:val="false"/>
          <w:iCs w:val="false"/>
          <w:sz w:val="22"/>
          <w:szCs w:val="22"/>
        </w:rPr>
        <w:t xml:space="preserve">Whatever the heart looks to as its primary source of security, meaning, or identity functions as its functional savior; the heart cannot be healed of its idols by clearing or confession alone but requires the dethroning of the false god and the re-enthroning of Christ in the heart's central place. Structural pair with FL.II Confession-Restoration at the sin-clearance altitude.</w:t>
      </w:r>
    </w:p>
    <w:p>
      <w:pPr>
        <w:spacing w:after="160" w:line="300"/>
      </w:pPr>
      <w:r>
        <w:rPr>
          <w:rFonts w:ascii="Arial" w:cs="Arial" w:eastAsia="Arial" w:hAnsi="Arial"/>
          <w:b/>
          <w:bCs/>
          <w:i/>
          <w:iCs/>
          <w:sz w:val="22"/>
          <w:szCs w:val="22"/>
        </w:rPr>
        <w:t xml:space="preserve">Mirror (constitutive):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FL.III is one of the laws whose content is itself the orientation-of-pursuit dimension. The God-ward face is Christ enthroned at the heart's center, recruiting the operational laws to serve their proper Object. The idol-ward face is a substitutional Object enthroned at the same center, recruiting the same operational laws to serve the false savior — producing the appearance of the law-form without the law-substance (Jer. 2:13; Col. 3:5; 1 John 5:21; Matt. 6:24). The law's bidirectional treatment is internal to the law's statement. Pairs upward with FL.XIV Vanity-of-Substitutes (the structural failure of the enthroned substitute, which becomes visible as the enthronement's natural unfolding) and downward with FL.XVII Substitution-Cascade (the generational transmission of inherited enthroned Objects).</w:t>
      </w:r>
    </w:p>
    <w:p>
      <w:pPr>
        <w:spacing w:after="160" w:line="300"/>
      </w:pPr>
      <w:r>
        <w:rPr>
          <w:rFonts w:ascii="Arial" w:cs="Arial" w:eastAsia="Arial" w:hAnsi="Arial"/>
          <w:b/>
          <w:bCs/>
          <w:i w:val="false"/>
          <w:iCs w:val="false"/>
          <w:sz w:val="22"/>
          <w:szCs w:val="22"/>
        </w:rPr>
        <w:t xml:space="preserve">P1/GII · FL.VIII (Foundational) — Desire-for-God Law (V), Clearly Taught</w:t>
      </w:r>
    </w:p>
    <w:p>
      <w:pPr>
        <w:spacing w:after="160" w:line="300"/>
      </w:pPr>
      <w:r>
        <w:rPr>
          <w:rFonts w:ascii="Arial" w:cs="Arial" w:eastAsia="Arial" w:hAnsi="Arial"/>
          <w:b w:val="false"/>
          <w:bCs w:val="false"/>
          <w:i w:val="false"/>
          <w:iCs w:val="false"/>
          <w:sz w:val="22"/>
          <w:szCs w:val="22"/>
        </w:rPr>
        <w:t xml:space="preserve">The human heart, made for God, generates a longing for him as a structural feature of its design (Eccl. 3:11); this longing precedes the participant's awareness of its true Object, survives every substitutional attempt to fill it with something else, and operates as the inward signal that the participant was created for communion with God in Christ.</w:t>
      </w:r>
    </w:p>
    <w:p>
      <w:pPr>
        <w:spacing w:after="160" w:line="300"/>
      </w:pPr>
      <w:r>
        <w:rPr>
          <w:rFonts w:ascii="Arial" w:cs="Arial" w:eastAsia="Arial" w:hAnsi="Arial"/>
          <w:b/>
          <w:bCs/>
          <w:i/>
          <w:iCs/>
          <w:sz w:val="22"/>
          <w:szCs w:val="22"/>
        </w:rPr>
        <w:t xml:space="preserve">Mirror (constitutive):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FL.VIII's idol-ward face is named in full by FL.XIV Vanity-of-Substitutes Law at the same Period/Group cell. FL.VIII names the engine — the longing built into the heart's design. FL.XIV names the structural failure of every alternative engine — substitutional attempts to fill the longing with anything other than God fail structurally, not contingently. The two laws together constitute the bidirectional treatment of the orientation dimension at P1/GII; the longing is the inward signal of God-ward design; the structural failure of substitutes is the inward signal of substitutional misdirection.</w:t>
      </w:r>
    </w:p>
    <w:p>
      <w:pPr>
        <w:spacing w:after="160" w:line="300"/>
      </w:pPr>
      <w:r>
        <w:rPr>
          <w:rFonts w:ascii="Arial" w:cs="Arial" w:eastAsia="Arial" w:hAnsi="Arial"/>
          <w:b/>
          <w:bCs/>
          <w:i w:val="false"/>
          <w:iCs w:val="false"/>
          <w:sz w:val="22"/>
          <w:szCs w:val="22"/>
        </w:rPr>
        <w:t xml:space="preserve">P1/GII · FL.XIV (Foundational) — Vanity-of-Substitutes Law (V), Clearly Taught</w:t>
      </w:r>
    </w:p>
    <w:p>
      <w:pPr>
        <w:spacing w:after="160" w:line="300"/>
      </w:pPr>
      <w:r>
        <w:rPr>
          <w:rFonts w:ascii="Arial" w:cs="Arial" w:eastAsia="Arial" w:hAnsi="Arial"/>
          <w:b w:val="false"/>
          <w:bCs w:val="false"/>
          <w:i w:val="false"/>
          <w:iCs w:val="false"/>
          <w:sz w:val="22"/>
          <w:szCs w:val="22"/>
        </w:rPr>
        <w:t xml:space="preserve">Every substitutional attempt to fill the FL.VIII Desire-for-God longing with an Object other than God fails to produce the satisfaction it promises, and the failure is structural to the substitutional attempt — not contingent on which substitute is chosen (Eccl. 2:1–11), not remediable by intensifying the pursuit, not surprised by a better substitute. The failure recruits the pursuit of the next substitute rather than naturally producing reorientation toward God (Rom. 1:21–25 exchange cascade). The inward signature of substitutional pursuit — satisfaction that promises and does not deliver — is itself the law's diagnostic signal (John 4:13–14). New in v5_6_0_5 from the third-axis test.</w:t>
      </w:r>
    </w:p>
    <w:p>
      <w:pPr>
        <w:spacing w:after="160" w:line="300"/>
      </w:pPr>
      <w:r>
        <w:rPr>
          <w:rFonts w:ascii="Arial" w:cs="Arial" w:eastAsia="Arial" w:hAnsi="Arial"/>
          <w:b/>
          <w:bCs/>
          <w:i/>
          <w:iCs/>
          <w:sz w:val="22"/>
          <w:szCs w:val="22"/>
        </w:rPr>
        <w:t xml:space="preserve">Mirror (constitutive):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FL.XIV is itself the idol-ward face of FL.VIII Desire-for-God. The God-ward face is FL.VIII's engine; the idol-ward face is the structural failure FL.XIV describes. The two laws together cover the bidirectional whole.</w:t>
      </w:r>
    </w:p>
    <w:p>
      <w:pPr>
        <w:spacing w:after="160" w:line="300"/>
      </w:pPr>
      <w:r>
        <w:rPr>
          <w:rFonts w:ascii="Arial" w:cs="Arial" w:eastAsia="Arial" w:hAnsi="Arial"/>
          <w:b/>
          <w:bCs/>
          <w:i w:val="false"/>
          <w:iCs w:val="false"/>
          <w:sz w:val="22"/>
          <w:szCs w:val="22"/>
        </w:rPr>
        <w:t xml:space="preserve">P1/GII · FL.XIII (Foundational) — Pure-Heart Vision Law (V), Clearly Taught</w:t>
      </w:r>
    </w:p>
    <w:p>
      <w:pPr>
        <w:spacing w:after="160" w:line="300"/>
      </w:pPr>
      <w:r>
        <w:rPr>
          <w:rFonts w:ascii="Arial" w:cs="Arial" w:eastAsia="Arial" w:hAnsi="Arial"/>
          <w:b w:val="false"/>
          <w:bCs w:val="false"/>
          <w:i w:val="false"/>
          <w:iCs w:val="false"/>
          <w:sz w:val="22"/>
          <w:szCs w:val="22"/>
        </w:rPr>
        <w:t xml:space="preserve">Purity of heart is the prior condition for the seeing of God, in both the present-perception and eschatological-vision senses. Second Gateway-type entry alongside Fear of the Lord (V1.Exp5).</w:t>
      </w:r>
    </w:p>
    <w:p>
      <w:pPr>
        <w:spacing w:after="160" w:line="300"/>
      </w:pPr>
      <w:r>
        <w:rPr>
          <w:rFonts w:ascii="Arial" w:cs="Arial" w:eastAsia="Arial" w:hAnsi="Arial"/>
          <w:b/>
          <w:bCs/>
          <w:i/>
          <w:iCs/>
          <w:sz w:val="22"/>
          <w:szCs w:val="22"/>
        </w:rPr>
        <w:t xml:space="preserve">Mirror (constitutive):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FL.XIII's idol-ward face is named in its own statement: impurity or divided heart blocks the seeing entirely (Ps. 66:18; Isa. 59:2). A divided heart is the canonical idol-ward state — the heart pursuing two Objects (Jas. 4:8 "purify your hearts, you double-minded"). Cherished sin functions as the gateway-blocking condition. The orientation-of-pursuit anchor is direct: pure heart = single-Object orientation toward God; impure heart = divided pursuit. The first table of the Decalogue (Exod. 20:3–7) is the operational form of the same single-Object orientation FL.XIII names from the seeing side.</w:t>
      </w:r>
    </w:p>
    <w:p>
      <w:pPr>
        <w:spacing w:after="160" w:line="300"/>
      </w:pPr>
      <w:r>
        <w:rPr>
          <w:rFonts w:ascii="Arial" w:cs="Arial" w:eastAsia="Arial" w:hAnsi="Arial"/>
          <w:b/>
          <w:bCs/>
          <w:i w:val="false"/>
          <w:iCs w:val="false"/>
          <w:sz w:val="22"/>
          <w:szCs w:val="22"/>
        </w:rPr>
        <w:t xml:space="preserve">P1/GIII · SST Stage 1 — Soul Disorder Awareness (I), Reasonably Inferred ◆</w:t>
      </w:r>
    </w:p>
    <w:p>
      <w:pPr>
        <w:spacing w:after="160" w:line="300"/>
      </w:pPr>
      <w:r>
        <w:rPr>
          <w:rFonts w:ascii="Arial" w:cs="Arial" w:eastAsia="Arial" w:hAnsi="Arial"/>
          <w:b w:val="false"/>
          <w:bCs w:val="false"/>
          <w:i w:val="false"/>
          <w:iCs w:val="false"/>
          <w:sz w:val="22"/>
          <w:szCs w:val="22"/>
        </w:rPr>
        <w:t xml:space="preserve">Recognition of interior fragmentation as precondition for clearing; makes scripture's claims feel personally urgent rather than abstractly interesting.</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idol-ward face of soul-disorder awareness is the refusal of recognition. Denial and self-justification calcify the disorder rather than resolving it: 1 John 1:8 ("if we say we have no sin, we deceive ourselves") names the dynamic at the level of the awareness itself; Jer. 17:9 ("the heart is deceitful above all things") names the heart's structural difficulty in self-diagnosing without external assistance. The God-ward face is recognition that opens onto clearing; the idol-ward face is refusal that closes off the clearing's possibility.</w:t>
      </w:r>
    </w:p>
    <w:p>
      <w:pPr>
        <w:spacing w:after="160" w:line="300"/>
      </w:pPr>
      <w:r>
        <w:rPr>
          <w:rFonts w:ascii="Arial" w:cs="Arial" w:eastAsia="Arial" w:hAnsi="Arial"/>
          <w:b/>
          <w:bCs/>
          <w:i w:val="false"/>
          <w:iCs w:val="false"/>
          <w:sz w:val="22"/>
          <w:szCs w:val="22"/>
        </w:rPr>
        <w:t xml:space="preserve">P1/GIII · FL.IV (Foundational) — Humility-Exaltation Law (V), Clearly Taught</w:t>
      </w:r>
    </w:p>
    <w:p>
      <w:pPr>
        <w:spacing w:after="160" w:line="300"/>
      </w:pPr>
      <w:r>
        <w:rPr>
          <w:rFonts w:ascii="Arial" w:cs="Arial" w:eastAsia="Arial" w:hAnsi="Arial"/>
          <w:b w:val="false"/>
          <w:bCs w:val="false"/>
          <w:i w:val="false"/>
          <w:iCs w:val="false"/>
          <w:sz w:val="22"/>
          <w:szCs w:val="22"/>
        </w:rPr>
        <w:t xml:space="preserve">Self-humbling before God leads to being exalted in due time; self-exaltation leads to being brought low. Bidirectional in source texts.</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Self-exaltation is structurally an idol-ward operation: the self enthrones the self as throne-occupant in God's place. Luke 14:11 and Matt. 23:12 name both directions in a single sentence — the same mechanism (posture-of-self toward God produces the inverse posture from God toward self), with humbling and being-humbled as the two directions. The James and Peter texts (Jas. 4:10; 1 Pet. 5:6) pair the humbling with submission to God explicitly, locating the orientation in God-ward submission rather than in mere humility-as-virtue.</w:t>
      </w:r>
    </w:p>
    <w:p>
      <w:pPr>
        <w:spacing w:after="160" w:line="300"/>
      </w:pPr>
      <w:r>
        <w:rPr>
          <w:rFonts w:ascii="Arial" w:cs="Arial" w:eastAsia="Arial" w:hAnsi="Arial"/>
          <w:b/>
          <w:bCs/>
          <w:i w:val="false"/>
          <w:iCs w:val="false"/>
          <w:sz w:val="22"/>
          <w:szCs w:val="22"/>
        </w:rPr>
        <w:t xml:space="preserve">P1/GIV · V1.Exp4 — Wisdom Cluster (K→U→W→D) (I), Reasonably Inferred</w:t>
      </w:r>
    </w:p>
    <w:p>
      <w:pPr>
        <w:spacing w:after="160" w:line="300"/>
      </w:pPr>
      <w:r>
        <w:rPr>
          <w:rFonts w:ascii="Arial" w:cs="Arial" w:eastAsia="Arial" w:hAnsi="Arial"/>
          <w:b w:val="false"/>
          <w:bCs w:val="false"/>
          <w:i w:val="false"/>
          <w:iCs w:val="false"/>
          <w:sz w:val="22"/>
          <w:szCs w:val="22"/>
        </w:rPr>
        <w:t xml:space="preserve">Knowledge → Understanding → Wisdom → Discernment with feedback loop; Fear of the Lord is the required gateway; without the gateway, output is cleverness, not wisdom.</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cluster operates wherever its inputs are present; the orientation of the inputs determines the output's character. Under the Fear-of-the-Lord gateway, the cluster produces wisdom and discernment in the canonical sense. Without the gateway, the same faculties produce cleverness from a distorted reference point: Rom. 1:22 ("claiming to be wise, they became fools") and 1 Cor. 1:20 ("Has not God made foolish the wisdom of the world?") name the same cluster's output under idol-ward orientation. Same faculties, opposite reference points, opposite outputs.</w:t>
      </w:r>
    </w:p>
    <w:p>
      <w:pPr>
        <w:spacing w:after="160" w:line="300"/>
      </w:pPr>
      <w:r>
        <w:rPr>
          <w:rFonts w:ascii="Arial" w:cs="Arial" w:eastAsia="Arial" w:hAnsi="Arial"/>
          <w:b/>
          <w:bCs/>
          <w:i w:val="false"/>
          <w:iCs w:val="false"/>
          <w:sz w:val="22"/>
          <w:szCs w:val="22"/>
        </w:rPr>
        <w:t xml:space="preserve">P1/GIV · FL.XI (Foundational) — Renewal-of-Mind Transformation Law (V), Clearly Taught</w:t>
      </w:r>
    </w:p>
    <w:p>
      <w:pPr>
        <w:spacing w:after="160" w:line="300"/>
      </w:pPr>
      <w:r>
        <w:rPr>
          <w:rFonts w:ascii="Arial" w:cs="Arial" w:eastAsia="Arial" w:hAnsi="Arial"/>
          <w:b w:val="false"/>
          <w:bCs w:val="false"/>
          <w:i w:val="false"/>
          <w:iCs w:val="false"/>
          <w:sz w:val="22"/>
          <w:szCs w:val="22"/>
        </w:rPr>
        <w:t xml:space="preserve">Sustained renewal of the mind through engagement with God's truth produces transformation of the whole person; sustained conformity to the surrounding pattern produces deformation. Period 1 anchor of the same mechanism the speculative Attention Economy of the Soul (P5/GIV) describes at cosmic scale.</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Conformity to the pattern of the surrounding age (Rom. 12:2a) is the negative direction: the same mechanism (sustained attention shaping the person) pointed at a different source, with deformation as the output. The pattern of the age is structurally idol-ward — it is the gathered cultural Object that the renewing-of-mind work must dethrone. The FL.XI Mirror is one of the clearest existing applications of the orientation-of-pursuit reading at the Mind/Will column.</w:t>
      </w:r>
    </w:p>
    <w:p>
      <w:pPr>
        <w:spacing w:after="160" w:line="300"/>
      </w:pPr>
      <w:r>
        <w:rPr>
          <w:rFonts w:ascii="Arial" w:cs="Arial" w:eastAsia="Arial" w:hAnsi="Arial"/>
          <w:b/>
          <w:bCs/>
          <w:i w:val="false"/>
          <w:iCs w:val="false"/>
          <w:sz w:val="22"/>
          <w:szCs w:val="22"/>
        </w:rPr>
        <w:t xml:space="preserve">P1/GV · V1.Exp6 — Obedience Channel (Revelation Flow) (V), Clearly Taught</w:t>
      </w:r>
    </w:p>
    <w:p>
      <w:pPr>
        <w:spacing w:after="160" w:line="300"/>
      </w:pPr>
      <w:r>
        <w:rPr>
          <w:rFonts w:ascii="Arial" w:cs="Arial" w:eastAsia="Arial" w:hAnsi="Arial"/>
          <w:b w:val="false"/>
          <w:bCs w:val="false"/>
          <w:i w:val="false"/>
          <w:iCs w:val="false"/>
          <w:sz w:val="22"/>
          <w:szCs w:val="22"/>
        </w:rPr>
        <w:t xml:space="preserve">Obedience to prior revelation is the causal condition for subsequent revelation; disobedience introduces resistance and, compounded, closes the channel entirely.</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Disobedience to prior revelation introduces resistance into the hearing channel; compounded disobedience progressively closes the channel (Heb. 3:13 hardening; 1 Sam. 15:22–23 rebellion-as-divination). The FL.XV Hardening Law at P0/GI is the wider-scope law in the same family — responsiveness reduction across the full range of God's address, not only across specific revelation. Obedience Channel describes the channel-load form; Hardening describes the broader trajectory dynamic.</w:t>
      </w:r>
    </w:p>
    <w:p>
      <w:pPr>
        <w:spacing w:after="160" w:line="300"/>
      </w:pPr>
      <w:r>
        <w:rPr>
          <w:rFonts w:ascii="Arial" w:cs="Arial" w:eastAsia="Arial" w:hAnsi="Arial"/>
          <w:b/>
          <w:bCs/>
          <w:i w:val="false"/>
          <w:iCs w:val="false"/>
          <w:sz w:val="22"/>
          <w:szCs w:val="22"/>
        </w:rPr>
        <w:t xml:space="preserve">P1/GV · V1.Exp7 — Spiritual Authority (Force Multiplier) (B), Reasonably Inferred</w:t>
      </w:r>
    </w:p>
    <w:p>
      <w:pPr>
        <w:spacing w:after="160" w:line="300"/>
      </w:pPr>
      <w:r>
        <w:rPr>
          <w:rFonts w:ascii="Arial" w:cs="Arial" w:eastAsia="Arial" w:hAnsi="Arial"/>
          <w:b w:val="false"/>
          <w:bCs w:val="false"/>
          <w:i w:val="false"/>
          <w:iCs w:val="false"/>
          <w:sz w:val="22"/>
          <w:szCs w:val="22"/>
        </w:rPr>
        <w:t xml:space="preserve">Authority delegated hierarchically: Father → Son → believers; operating within delegated authority amplifies effective spiritual force.</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idol-ward face of delegated authority is usurped authority — Korah's rebellion (Num. 16) names the canonical biblical pattern. Authority claimed apart from the delegating chain produces destructive force rather than constructive force; the multiplier operates in either case, with the direction of the multiplication determined by the orientation of the claim. Saul's spiritual-authority operation across 1 Samuel 15–28 traces the trajectory: legitimate-but-disobedient authority → progressively-distanced-from-God authority → desperate consultation of the medium at Endor as the final terminal state of usurped-spiritual-authority orientation.</w:t>
      </w:r>
    </w:p>
    <w:p>
      <w:pPr>
        <w:spacing w:after="160" w:line="300"/>
      </w:pPr>
      <w:r>
        <w:rPr>
          <w:rFonts w:ascii="Arial" w:cs="Arial" w:eastAsia="Arial" w:hAnsi="Arial"/>
          <w:b/>
          <w:bCs/>
          <w:i w:val="false"/>
          <w:iCs w:val="false"/>
          <w:sz w:val="22"/>
          <w:szCs w:val="22"/>
        </w:rPr>
        <w:t xml:space="preserve">P1/GV · FL.II (Foundational) — Confession-Restoration Law (V), Clearly Taught</w:t>
      </w:r>
    </w:p>
    <w:p>
      <w:pPr>
        <w:spacing w:after="160" w:line="300"/>
      </w:pPr>
      <w:r>
        <w:rPr>
          <w:rFonts w:ascii="Arial" w:cs="Arial" w:eastAsia="Arial" w:hAnsi="Arial"/>
          <w:b w:val="false"/>
          <w:bCs w:val="false"/>
          <w:i w:val="false"/>
          <w:iCs w:val="false"/>
          <w:sz w:val="22"/>
          <w:szCs w:val="22"/>
        </w:rPr>
        <w:t xml:space="preserve">Honest, owned confession of sin restores fellowship and clears the channel; concealment maintains the breach. Vertical complement to the Sin Blockage Law at P2/GV.</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Concealment of sin is structurally an idol-ward operation — preserving the self's account of itself in place of God's account, with the self-image enthroned as competing throne. Prov. 28:13 names both directions in a single sentence ("whoever conceals his transgressions will not prosper, but he who confesses and forsakes them will obtain mercy"); Ps. 32:3–4 names the bodily-emotional cost of concealment ("when I kept silent, my bones wasted away"); Ps. 66:18 names the prayer-channel effect ("if I had cherished iniquity in my heart, the Lord would not have listened"). Same mechanism (relationship of the sin to its acknowledgment); opposite directions of the heart's posture.</w:t>
      </w:r>
    </w:p>
    <w:p>
      <w:pPr>
        <w:spacing w:after="160" w:line="300"/>
      </w:pPr>
      <w:r>
        <w:rPr>
          <w:rFonts w:ascii="Arial" w:cs="Arial" w:eastAsia="Arial" w:hAnsi="Arial"/>
          <w:b/>
          <w:bCs/>
          <w:i w:val="false"/>
          <w:iCs w:val="false"/>
          <w:sz w:val="22"/>
          <w:szCs w:val="22"/>
        </w:rPr>
        <w:t xml:space="preserve">P1/GVI · V1.Exp2 — Nested Person Structure (I), Reasonably Inferred</w:t>
      </w:r>
    </w:p>
    <w:p>
      <w:pPr>
        <w:spacing w:after="160" w:line="300"/>
      </w:pPr>
      <w:r>
        <w:rPr>
          <w:rFonts w:ascii="Arial" w:cs="Arial" w:eastAsia="Arial" w:hAnsi="Arial"/>
          <w:b w:val="false"/>
          <w:bCs w:val="false"/>
          <w:i w:val="false"/>
          <w:iCs w:val="false"/>
          <w:sz w:val="22"/>
          <w:szCs w:val="22"/>
        </w:rPr>
        <w:t xml:space="preserve">Spirit ⊂ Heart; Heart, Mind, and Body ⊂ Soul; lasting change always works from inside out; transformation that does not reach innermost layers is incomplete.</w:t>
      </w:r>
    </w:p>
    <w:p>
      <w:pPr>
        <w:spacing w:after="160" w:line="300"/>
      </w:pPr>
      <w:r>
        <w:rPr>
          <w:rFonts w:ascii="Arial" w:cs="Arial" w:eastAsia="Arial" w:hAnsi="Arial"/>
          <w:b/>
          <w:bCs/>
          <w:i/>
          <w:iCs/>
          <w:sz w:val="22"/>
          <w:szCs w:val="22"/>
        </w:rPr>
        <w:t xml:space="preserve">Mirror (orientation-neutral):</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Nested Person Structure is architectural rather than orientation-shaped. The structure itself does not carry direction; it is the architectural fact within which orientation operates. The same structure obtains in a God-ward heart and in an idol-ward heart; the laws operating within the structure carry orientation, but the structure itself does not. Mirror discipline names this directly rather than forcing an orientation reading.</w:t>
      </w:r>
    </w:p>
    <w:p>
      <w:pPr>
        <w:pStyle w:val="Heading3"/>
        <w:spacing w:after="160" w:before="240"/>
      </w:pPr>
      <w:r>
        <w:rPr>
          <w:rFonts w:ascii="Arial" w:cs="Arial" w:eastAsia="Arial" w:hAnsi="Arial"/>
          <w:b/>
          <w:bCs/>
          <w:sz w:val="26"/>
          <w:szCs w:val="26"/>
        </w:rPr>
        <w:t xml:space="preserve">PERIOD 2 — Dyadic / Small Group</w:t>
      </w:r>
    </w:p>
    <w:p>
      <w:pPr>
        <w:spacing w:after="160" w:line="300"/>
      </w:pPr>
      <w:r>
        <w:rPr>
          <w:rFonts w:ascii="Arial" w:cs="Arial" w:eastAsia="Arial" w:hAnsi="Arial"/>
          <w:b/>
          <w:bCs/>
          <w:i w:val="false"/>
          <w:iCs w:val="false"/>
          <w:sz w:val="22"/>
          <w:szCs w:val="22"/>
        </w:rPr>
        <w:t xml:space="preserve">P2/GI · V1.Exp8 — Prayer Resonance (Waveform Model) (V), Reasonably Inferred</w:t>
      </w:r>
    </w:p>
    <w:p>
      <w:pPr>
        <w:spacing w:after="160" w:line="300"/>
      </w:pPr>
      <w:r>
        <w:rPr>
          <w:rFonts w:ascii="Arial" w:cs="Arial" w:eastAsia="Arial" w:hAnsi="Arial"/>
          <w:b w:val="false"/>
          <w:bCs w:val="false"/>
          <w:i w:val="false"/>
          <w:iCs w:val="false"/>
          <w:sz w:val="22"/>
          <w:szCs w:val="22"/>
        </w:rPr>
        <w:t xml:space="preserve">Prayer as a resonance phenomenon between the praying soul and God; sustained alignment produces increasing amplitude of effect. Parent-child pair with the Ask-Seek-Knock Law (FL.X) at P1/GI: Ask-Seek-Knock names the threshold-form (asking that crosses the threshold receives), Prayer Resonance names the sustained-form (alignment that holds amplitude increases).</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Prayer Resonance's idol-ward face is named in the same Jas. 4:3 text that anchors the FL.X Ask-Seek-Knock Mirror: prayer offered in the service of a competing Object does not produce the resonance the law describes, because the alignment required for resonance is alignment-with-God's-character rather than alignment-with-the-petitioner's-wants. The Counter-Resonance Law (Speculative) at the same Period/Group cell is the dyadic-scale operation of the same dynamic — sustained prayer-time alignment with a non-God Object produces deformation rather than the formation the resonance with God produces. Same mechanism (sustained alignment produces formation in the direction of the Object aligned with); opposite Object; opposite output.</w:t>
      </w:r>
    </w:p>
    <w:p>
      <w:pPr>
        <w:spacing w:after="160" w:line="300"/>
      </w:pPr>
      <w:r>
        <w:rPr>
          <w:rFonts w:ascii="Arial" w:cs="Arial" w:eastAsia="Arial" w:hAnsi="Arial"/>
          <w:b/>
          <w:bCs/>
          <w:i w:val="false"/>
          <w:iCs w:val="false"/>
          <w:sz w:val="22"/>
          <w:szCs w:val="22"/>
        </w:rPr>
        <w:t xml:space="preserve">P2/GI · Speculative — Prophetic Imagination (V), Speculative ◆</w:t>
      </w:r>
    </w:p>
    <w:p>
      <w:pPr>
        <w:spacing w:after="160" w:line="300"/>
      </w:pPr>
      <w:r>
        <w:rPr>
          <w:rFonts w:ascii="Arial" w:cs="Arial" w:eastAsia="Arial" w:hAnsi="Arial"/>
          <w:b w:val="false"/>
          <w:bCs w:val="false"/>
          <w:i w:val="false"/>
          <w:iCs w:val="false"/>
          <w:sz w:val="22"/>
          <w:szCs w:val="22"/>
        </w:rPr>
        <w:t xml:space="preserve">The Spirit-anointed imagination as the canvas the Holy Spirit operates on for hearing-from-God in image, word, and impression form; develops as a faculty with practice and discernment.</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idol-ward face of prophetic imagination is </w:t>
      </w:r>
      <w:r>
        <w:rPr>
          <w:rFonts w:ascii="Arial" w:cs="Arial" w:eastAsia="Arial" w:hAnsi="Arial"/>
          <w:b w:val="false"/>
          <w:bCs w:val="false"/>
          <w:i w:val="false"/>
          <w:iCs w:val="false"/>
          <w:sz w:val="22"/>
          <w:szCs w:val="22"/>
        </w:rPr>
        <w:t xml:space="preserve">false prophetic imagination</w:t>
      </w:r>
      <w:r>
        <w:rPr>
          <w:rFonts w:ascii="Arial" w:cs="Arial" w:eastAsia="Arial" w:hAnsi="Arial"/>
          <w:b w:val="false"/>
          <w:bCs w:val="false"/>
          <w:i/>
          <w:iCs/>
          <w:sz w:val="22"/>
          <w:szCs w:val="22"/>
        </w:rPr>
        <w:t xml:space="preserve"> — image, word, and impression formed by the heart's competing Object rather than by the Spirit. Jer. 23:16–22 names the canonical pattern: prophets who prophesy "visions of their own minds, not from the mouth of the Lord," whose imagination has been recruited by the people's desires rather than by God's address. Discernment-of-spirits (1 Cor. 12:10; 1 John 4:1) is the operational corrective: the participant who develops the prophetic-imagination faculty must develop the discernment that distinguishes the Spirit-anointed canvas from the self-anointed counterfeit.</w:t>
      </w:r>
    </w:p>
    <w:p>
      <w:pPr>
        <w:spacing w:after="160" w:line="300"/>
      </w:pPr>
      <w:r>
        <w:rPr>
          <w:rFonts w:ascii="Arial" w:cs="Arial" w:eastAsia="Arial" w:hAnsi="Arial"/>
          <w:b/>
          <w:bCs/>
          <w:i w:val="false"/>
          <w:iCs w:val="false"/>
          <w:sz w:val="22"/>
          <w:szCs w:val="22"/>
        </w:rPr>
        <w:t xml:space="preserve">P2/GI · Speculative — Counter-Resonance Law (V), Speculative ◆</w:t>
      </w:r>
    </w:p>
    <w:p>
      <w:pPr>
        <w:spacing w:after="160" w:line="300"/>
      </w:pPr>
      <w:r>
        <w:rPr>
          <w:rFonts w:ascii="Arial" w:cs="Arial" w:eastAsia="Arial" w:hAnsi="Arial"/>
          <w:b w:val="false"/>
          <w:bCs w:val="false"/>
          <w:i w:val="false"/>
          <w:iCs w:val="false"/>
          <w:sz w:val="22"/>
          <w:szCs w:val="22"/>
        </w:rPr>
        <w:t xml:space="preserve">Sustained prayer-time spent in the resonance of a non-God Object (a particular grievance, a particular fear, a particular fixation) produces deformation in the direction of that Object, by the same waveform-amplitude mechanism Prayer Resonance describes for God-ward orientation. The participant who returns repeatedly to the same fixation in prayer is being formed by the fixation; the formation operates whether the praying is articulated as prayer or as rumination. Promoted to accepted entry in v5_6_0_5 from the third-axis test; held at Speculative tier per the test's conservative recommendation regarding cross-author scriptural support and tradition-differences on the formation/deformation framing.</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Counter-Resonance Law's God-ward face is V1.Exp8 Prayer Resonance at the same Period/Group cell. Same mechanism (sustained prayer-time alignment with an Object produces formation in the Object's direction); opposite Object (God vs. a competing fixation); opposite output (formation toward Christ vs. deformation toward the fixation). The two laws together cover the bidirectional whole of the prayer-as-formation dynamic at the dyadic-small-group scale.</w:t>
      </w:r>
    </w:p>
    <w:p>
      <w:pPr>
        <w:pStyle w:val="Heading3"/>
        <w:spacing w:after="160" w:before="240"/>
      </w:pPr>
      <w:r>
        <w:rPr>
          <w:rFonts w:ascii="Arial" w:cs="Arial" w:eastAsia="Arial" w:hAnsi="Arial"/>
          <w:b/>
          <w:bCs/>
          <w:sz w:val="26"/>
          <w:szCs w:val="26"/>
        </w:rPr>
        <w:t xml:space="preserve">PERIOD 2 — continued</w:t>
      </w:r>
    </w:p>
    <w:p>
      <w:pPr>
        <w:spacing w:after="160" w:line="300"/>
      </w:pPr>
      <w:r>
        <w:rPr>
          <w:rFonts w:ascii="Arial" w:cs="Arial" w:eastAsia="Arial" w:hAnsi="Arial"/>
          <w:b/>
          <w:bCs/>
          <w:i w:val="false"/>
          <w:iCs w:val="false"/>
          <w:sz w:val="22"/>
          <w:szCs w:val="22"/>
        </w:rPr>
        <w:t xml:space="preserve">P2/GII · V2.Exp7 — Hearing Development (5-Stage Affective) (V), Reasonably Inferred</w:t>
      </w:r>
    </w:p>
    <w:p>
      <w:pPr>
        <w:spacing w:after="160" w:line="300"/>
      </w:pPr>
      <w:r>
        <w:rPr>
          <w:rFonts w:ascii="Arial" w:cs="Arial" w:eastAsia="Arial" w:hAnsi="Arial"/>
          <w:b w:val="false"/>
          <w:bCs w:val="false"/>
          <w:i w:val="false"/>
          <w:iCs w:val="false"/>
          <w:sz w:val="22"/>
          <w:szCs w:val="22"/>
        </w:rPr>
        <w:t xml:space="preserve">Development of the capacity to hear from God moves through five affective stages, with the Level 2→3 transition functioning as the critical formation threshold. A specific instance of the threshold periodicity.</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hearing-from-God faculty develops in the God-ward direction along the five-stage trajectory; in the idol-ward direction the same faculty develops as the calcification of the participant's hearing-of-the-self-or-of-the-competing-Object as if it were hearing-from-God. The discernment-of-voices content (V2.Exp7A in the corpus) is the operational corrective at the same Period/Group cell — the same faculty in development requires the developmental work of recognizing the Object the hearing is actually oriented toward. The threshold structure operates in either direction; the orientation of the hearing determines which trajectory the threshold opens onto.</w:t>
      </w:r>
    </w:p>
    <w:p>
      <w:pPr>
        <w:spacing w:after="160" w:line="300"/>
      </w:pPr>
      <w:r>
        <w:rPr>
          <w:rFonts w:ascii="Arial" w:cs="Arial" w:eastAsia="Arial" w:hAnsi="Arial"/>
          <w:b/>
          <w:bCs/>
          <w:i w:val="false"/>
          <w:iCs w:val="false"/>
          <w:sz w:val="22"/>
          <w:szCs w:val="22"/>
        </w:rPr>
        <w:t xml:space="preserve">P2/GIII · V2.Exp2 — Emotional Knot Law (I), Clearly Taught</w:t>
      </w:r>
    </w:p>
    <w:p>
      <w:pPr>
        <w:spacing w:after="160" w:line="300"/>
      </w:pPr>
      <w:r>
        <w:rPr>
          <w:rFonts w:ascii="Arial" w:cs="Arial" w:eastAsia="Arial" w:hAnsi="Arial"/>
          <w:b w:val="false"/>
          <w:bCs w:val="false"/>
          <w:i w:val="false"/>
          <w:iCs w:val="false"/>
          <w:sz w:val="22"/>
          <w:szCs w:val="22"/>
        </w:rPr>
        <w:t xml:space="preserve">Sustained unresolved emotional knots produce somatic and behavioral consequence over time; intentional resolution work releases the consequence and restores the developmental capacity the knot was consuming.</w:t>
      </w:r>
    </w:p>
    <w:p>
      <w:pPr>
        <w:spacing w:after="160" w:line="300"/>
      </w:pPr>
      <w:r>
        <w:rPr>
          <w:rFonts w:ascii="Arial" w:cs="Arial" w:eastAsia="Arial" w:hAnsi="Arial"/>
          <w:b/>
          <w:bCs/>
          <w:i/>
          <w:iCs/>
          <w:sz w:val="22"/>
          <w:szCs w:val="22"/>
        </w:rPr>
        <w:t xml:space="preserve">Mirror (orientation-neutral):</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Emotional Knot Law operates on the mechanism of unresolved emotional load and its somatic-behavioral consequences. The mechanism itself does not carry orientation — the unresolved knot operates structurally regardless of whether the participant is in God-ward or idol-ward orientation overall. The orientation question lives at the level of how the knot is addressed (Companion-mediated clearing under FL.II Confession-Restoration vs. self-distraction or substance-based numbing under the FL.XIV Vanity-of-Substitutes dynamic), not at the level of the knot-mechanism itself. Mirror discipline names this directly.</w:t>
      </w:r>
    </w:p>
    <w:p>
      <w:pPr>
        <w:spacing w:after="160" w:line="300"/>
      </w:pPr>
      <w:r>
        <w:rPr>
          <w:rFonts w:ascii="Arial" w:cs="Arial" w:eastAsia="Arial" w:hAnsi="Arial"/>
          <w:b/>
          <w:bCs/>
          <w:i w:val="false"/>
          <w:iCs w:val="false"/>
          <w:sz w:val="22"/>
          <w:szCs w:val="22"/>
        </w:rPr>
        <w:t xml:space="preserve">P2/GIII · V2.Exp6 — Tool-Application (Discernment Required) (I), Reasonably Inferred</w:t>
      </w:r>
    </w:p>
    <w:p>
      <w:pPr>
        <w:spacing w:after="160" w:line="300"/>
      </w:pPr>
      <w:r>
        <w:rPr>
          <w:rFonts w:ascii="Arial" w:cs="Arial" w:eastAsia="Arial" w:hAnsi="Arial"/>
          <w:b w:val="false"/>
          <w:bCs w:val="false"/>
          <w:i w:val="false"/>
          <w:iCs w:val="false"/>
          <w:sz w:val="22"/>
          <w:szCs w:val="22"/>
        </w:rPr>
        <w:t xml:space="preserve">Specific formation tools must be matched to specific participant states; no single tool serves all conditions; mis-application produces injury that a different tool would have prevented.</w:t>
      </w:r>
    </w:p>
    <w:p>
      <w:pPr>
        <w:spacing w:after="160" w:line="300"/>
      </w:pPr>
      <w:r>
        <w:rPr>
          <w:rFonts w:ascii="Arial" w:cs="Arial" w:eastAsia="Arial" w:hAnsi="Arial"/>
          <w:b/>
          <w:bCs/>
          <w:i/>
          <w:iCs/>
          <w:sz w:val="22"/>
          <w:szCs w:val="22"/>
        </w:rPr>
        <w:t xml:space="preserve">Mirror (orientation-neutral):</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Tool-Application Law is structural rather than orientation-shaped — it describes the discernment work the Companion must do in selecting tools for the participant in front of her. The orientation of the participant matters as one of the diagnostic features the Companion reads to select the appropriate tool, but the law itself operates equally in either direction: the same discernment work applies whether the participant is in God-ward formation or in the early stages of recognizing idol-ward orientation that needs addressing. Mirror discipline names this directly.</w:t>
      </w:r>
    </w:p>
    <w:p>
      <w:pPr>
        <w:spacing w:after="160" w:line="300"/>
      </w:pPr>
      <w:r>
        <w:rPr>
          <w:rFonts w:ascii="Arial" w:cs="Arial" w:eastAsia="Arial" w:hAnsi="Arial"/>
          <w:b/>
          <w:bCs/>
          <w:i w:val="false"/>
          <w:iCs w:val="false"/>
          <w:sz w:val="22"/>
          <w:szCs w:val="22"/>
        </w:rPr>
        <w:t xml:space="preserve">P2/GIV · V2.Exp3 — Cognitive Root of Knots (I), Reasonably Inferred</w:t>
      </w:r>
    </w:p>
    <w:p>
      <w:pPr>
        <w:spacing w:after="160" w:line="300"/>
      </w:pPr>
      <w:r>
        <w:rPr>
          <w:rFonts w:ascii="Arial" w:cs="Arial" w:eastAsia="Arial" w:hAnsi="Arial"/>
          <w:b w:val="false"/>
          <w:bCs w:val="false"/>
          <w:i w:val="false"/>
          <w:iCs w:val="false"/>
          <w:sz w:val="22"/>
          <w:szCs w:val="22"/>
        </w:rPr>
        <w:t xml:space="preserve">Emotional knots characteristically have a cognitive substrate — an interpretive frame the participant has settled into — and resolution at the affective level without addressing the cognitive substrate produces partial release that re-tightens under load.</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orientation reading of the cognitive root: the interpretive frame's content determines its orientation. A frame oriented around God's character (his goodness, sovereignty, presence) supports the resolution work the law describes; a frame oriented around competing Objects (self-protection, the heart's idolatry, the FL.III Heart-Throne dynamic at the cognitive level) reinforces the knot rather than releasing it. The cognitive-substrate work is therefore not orientation-neutral the way the affective-knot mechanism is; the frame's content matters, and frames with idol-ward content require dethroning-style work, not merely cognitive-reframing-style work.</w:t>
      </w:r>
    </w:p>
    <w:p>
      <w:pPr>
        <w:spacing w:after="160" w:line="300"/>
      </w:pPr>
      <w:r>
        <w:rPr>
          <w:rFonts w:ascii="Arial" w:cs="Arial" w:eastAsia="Arial" w:hAnsi="Arial"/>
          <w:b/>
          <w:bCs/>
          <w:i w:val="false"/>
          <w:iCs w:val="false"/>
          <w:sz w:val="22"/>
          <w:szCs w:val="22"/>
        </w:rPr>
        <w:t xml:space="preserve">P2/GV · V2.Exp4 — Sin Blockage Law (Circuit Load) (V), Clearly Taught</w:t>
      </w:r>
    </w:p>
    <w:p>
      <w:pPr>
        <w:spacing w:after="160" w:line="300"/>
      </w:pPr>
      <w:r>
        <w:rPr>
          <w:rFonts w:ascii="Arial" w:cs="Arial" w:eastAsia="Arial" w:hAnsi="Arial"/>
          <w:b w:val="false"/>
          <w:bCs w:val="false"/>
          <w:i w:val="false"/>
          <w:iCs w:val="false"/>
          <w:sz w:val="22"/>
          <w:szCs w:val="22"/>
        </w:rPr>
        <w:t xml:space="preserve">Unconfessed sin introduces resistance into the prayer-and-hearing circuit; the resistance compounds under sustained unconfession; the circuit clears when confession occurs (1 John 1:9; Isa. 59:2; Ps. 66:18). Dyadic-scale operation of the channel-load mechanism.</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Sin Blockage Law is orientation-presupposing rather than orientation-neutral: the law presupposes that the participant is operating in a fundamentally God-ward direction, with the sin operating as an interruption in the ongoing God-ward channel. The idol-ward face is the deeper-level operation in which the sin is not a discrete interruption but the steady-state expression of an enthroned competing Object — and at that level the FL.III Heart-Throne dynamic is the operational corrective, not the FL.II Confession-Restoration alone. The Sin Blockage Law operates one altitude downstream of the Heart-Throne Law; addressing the blockage without addressing the throne produces clearing that re-loads under the next instance of the same sin.</w:t>
      </w:r>
    </w:p>
    <w:p>
      <w:pPr>
        <w:spacing w:after="160" w:line="300"/>
      </w:pPr>
      <w:r>
        <w:rPr>
          <w:rFonts w:ascii="Arial" w:cs="Arial" w:eastAsia="Arial" w:hAnsi="Arial"/>
          <w:b/>
          <w:bCs/>
          <w:i w:val="false"/>
          <w:iCs w:val="false"/>
          <w:sz w:val="22"/>
          <w:szCs w:val="22"/>
        </w:rPr>
        <w:t xml:space="preserve">P2/GV · Speculative — Forgiveness-Debt Transfer Law (B), Reasonably Inferred ◆</w:t>
      </w:r>
    </w:p>
    <w:p>
      <w:pPr>
        <w:spacing w:after="160" w:line="300"/>
      </w:pPr>
      <w:r>
        <w:rPr>
          <w:rFonts w:ascii="Arial" w:cs="Arial" w:eastAsia="Arial" w:hAnsi="Arial"/>
          <w:b w:val="false"/>
          <w:bCs w:val="false"/>
          <w:i w:val="false"/>
          <w:iCs w:val="false"/>
          <w:sz w:val="22"/>
          <w:szCs w:val="22"/>
        </w:rPr>
        <w:t xml:space="preserve">The Companion-or-community-mediated transfer of a forgiveness-debt off the heart of the wronged party onto the structural account that Christ's atonement holds (Col. 2:14); the operational mechanism by which the FL.V Reciprocal Forgiveness Law's command becomes affectively achievable rather than merely volitionally aspirational.</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idol-ward face of forgiveness-debt transfer is the cherishing of the debt as an Object in its own right — the resentment that the heart enthrones in place of the work of release. Heb. 12:15 ("a root of bitterness springing up") names the dynamic: the unreleased forgiveness-debt operates as a root that grows into a competing throne, with the resentment becoming a structuring Object of the heart's pursuits. The God-ward face is the release that frees the heart for the formation work the FL.V command requires; the idol-ward face is the cherishing that uses the wrong as raw material for the false-self's reconstruction.</w:t>
      </w:r>
    </w:p>
    <w:p>
      <w:pPr>
        <w:spacing w:after="160" w:line="300"/>
      </w:pPr>
      <w:r>
        <w:rPr>
          <w:rFonts w:ascii="Arial" w:cs="Arial" w:eastAsia="Arial" w:hAnsi="Arial"/>
          <w:b/>
          <w:bCs/>
          <w:i w:val="false"/>
          <w:iCs w:val="false"/>
          <w:sz w:val="22"/>
          <w:szCs w:val="22"/>
        </w:rPr>
        <w:t xml:space="preserve">P2/GV · FL.V (Foundational) — Reciprocal Forgiveness Law (B), Clearly Taught</w:t>
      </w:r>
    </w:p>
    <w:p>
      <w:pPr>
        <w:spacing w:after="160" w:line="300"/>
      </w:pPr>
      <w:r>
        <w:rPr>
          <w:rFonts w:ascii="Arial" w:cs="Arial" w:eastAsia="Arial" w:hAnsi="Arial"/>
          <w:b w:val="false"/>
          <w:bCs w:val="false"/>
          <w:i w:val="false"/>
          <w:iCs w:val="false"/>
          <w:sz w:val="22"/>
          <w:szCs w:val="22"/>
        </w:rPr>
        <w:t xml:space="preserve">Forgiveness extended is the condition of forgiveness received; the unforgiving servant's parable (Matt. 18:23–35) names the mechanism narratively.</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FL.V's idol-ward face is the unforgiving stance whose parable Jesus tells. The unforgiving servant is the canonical case: he had received absolute forgiveness and refused to extend the same to his fellow servant; the refusal is itself the throne-occupation of the wronged-self's claim against the wronger. The mechanism is the same (forgiveness extended is the condition of forgiveness received); the orientation of the heart determines which direction of the mechanism operates. The withholding of forgiveness is structurally an enthronement of the wronged-self as superior to the wronger, which the parable's master treats as canceling the prior forgiveness.</w:t>
      </w:r>
    </w:p>
    <w:p>
      <w:pPr>
        <w:spacing w:after="160" w:line="300"/>
      </w:pPr>
      <w:r>
        <w:rPr>
          <w:rFonts w:ascii="Arial" w:cs="Arial" w:eastAsia="Arial" w:hAnsi="Arial"/>
          <w:b/>
          <w:bCs/>
          <w:i w:val="false"/>
          <w:iCs w:val="false"/>
          <w:sz w:val="22"/>
          <w:szCs w:val="22"/>
        </w:rPr>
        <w:t xml:space="preserve">P2/GV · FL.XII (Foundational) — Honor-Authority Flourishing Law (B), Clearly Taught</w:t>
      </w:r>
    </w:p>
    <w:p>
      <w:pPr>
        <w:spacing w:after="160" w:line="300"/>
      </w:pPr>
      <w:r>
        <w:rPr>
          <w:rFonts w:ascii="Arial" w:cs="Arial" w:eastAsia="Arial" w:hAnsi="Arial"/>
          <w:b w:val="false"/>
          <w:bCs w:val="false"/>
          <w:i w:val="false"/>
          <w:iCs w:val="false"/>
          <w:sz w:val="22"/>
          <w:szCs w:val="22"/>
        </w:rPr>
        <w:t xml:space="preserve">A specific commandment with promise (Exod. 20:12) whose causal structure generalizes beyond parents to civil and ecclesial authority. Honor toward delegated authority produces the flourishing the law promises; dishonor introduces resistance and forfeits the promise.</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idol-ward face of FL.XII is dishonor toward delegated authority, which structurally involves the self enthroning the self as judge of the legitimacy of the delegating chain. Rom. 13's treatment of civil authority names the same dynamic at the corporate scale; the FL.XII mechanism operates equally in either direction. Distinction: legitimate refusal of unlawful command (Acts 4:19; Acts 5:29) is not the idol-ward face of FL.XII — it is the operation of a higher delegating chain over a lower one, with the orientation remaining God-ward. The idol-ward face is the dishonor that flows from the self's claim to evaluate authority outside its proper sphere, not from the conscientious refusal that flows from the higher delegating chain.</w:t>
      </w:r>
    </w:p>
    <w:p>
      <w:pPr>
        <w:spacing w:after="160" w:line="300"/>
      </w:pPr>
      <w:r>
        <w:rPr>
          <w:rFonts w:ascii="Arial" w:cs="Arial" w:eastAsia="Arial" w:hAnsi="Arial"/>
          <w:b/>
          <w:bCs/>
          <w:i w:val="false"/>
          <w:iCs w:val="false"/>
          <w:sz w:val="22"/>
          <w:szCs w:val="22"/>
        </w:rPr>
        <w:t xml:space="preserve">P2/GVI · V2.Exp5 — Four Connects (Self→Others→God→Mission) (B), Reasonably Inferred</w:t>
      </w:r>
    </w:p>
    <w:p>
      <w:pPr>
        <w:spacing w:after="160" w:line="300"/>
      </w:pPr>
      <w:r>
        <w:rPr>
          <w:rFonts w:ascii="Arial" w:cs="Arial" w:eastAsia="Arial" w:hAnsi="Arial"/>
          <w:b w:val="false"/>
          <w:bCs w:val="false"/>
          <w:i w:val="false"/>
          <w:iCs w:val="false"/>
          <w:sz w:val="22"/>
          <w:szCs w:val="22"/>
        </w:rPr>
        <w:t xml:space="preserve">The Companion-formation arc moves the participant through four connections in sequence: connection with the self (the inward attending the formation work makes possible), then with others (the relational repair the formation work makes durable), then with God (the deepened communion the formation work makes available), then with mission (the outward orientation the formation work makes operational).</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Four Connects arc is structurally God-ward by design — the arc traces the formation work's natural trajectory. The idol-ward face appears where any one of the four connects is collapsed or skipped. Connection-to-self that does not move on to connection-to-others becomes therapeutic narcissism; connection-to-others that does not deepen into connection-to-God remains relational instrumentalism; connection-to-God that does not orient toward mission remains contemplative privatism. The mechanism is the sequential arc; the idol-ward operation is the truncation of the arc at any step. The diagnostic question is which step the participant is currently truncating.</w:t>
      </w:r>
    </w:p>
    <w:p>
      <w:pPr>
        <w:pStyle w:val="Heading3"/>
        <w:spacing w:after="160" w:before="240"/>
      </w:pPr>
      <w:r>
        <w:rPr>
          <w:rFonts w:ascii="Arial" w:cs="Arial" w:eastAsia="Arial" w:hAnsi="Arial"/>
          <w:b/>
          <w:bCs/>
          <w:sz w:val="26"/>
          <w:szCs w:val="26"/>
        </w:rPr>
        <w:t xml:space="preserve">PERIOD 3 — Community / Congregation</w:t>
      </w:r>
    </w:p>
    <w:p>
      <w:pPr>
        <w:spacing w:after="160" w:line="300"/>
      </w:pPr>
      <w:r>
        <w:rPr>
          <w:rFonts w:ascii="Arial" w:cs="Arial" w:eastAsia="Arial" w:hAnsi="Arial"/>
          <w:b/>
          <w:bCs/>
          <w:i w:val="false"/>
          <w:iCs w:val="false"/>
          <w:sz w:val="22"/>
          <w:szCs w:val="22"/>
        </w:rPr>
        <w:t xml:space="preserve">P3/GI · [ OPEN UNKNOWN ] — Gathered-Body Discernment Law</w:t>
      </w:r>
    </w:p>
    <w:p>
      <w:pPr>
        <w:spacing w:after="160" w:line="300"/>
      </w:pPr>
      <w:r>
        <w:rPr>
          <w:rFonts w:ascii="Arial" w:cs="Arial" w:eastAsia="Arial" w:hAnsi="Arial"/>
          <w:b w:val="false"/>
          <w:bCs w:val="false"/>
          <w:i w:val="false"/>
          <w:iCs w:val="false"/>
          <w:sz w:val="22"/>
          <w:szCs w:val="22"/>
        </w:rPr>
        <w:t xml:space="preserve">How the Spirit speaks distinctively through a gathered body (Acts 13:2; Acts 15's Jerusalem council; the Elijah/Elisha double-portion pattern; the Pentecost gathered-body anointing) — a Period-3 / Group-I law the corpus has named the territory of without yet articulating the law-form. Holds open as a priority research target.</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orientation-of-pursuit dimension at this cell remains unspecified pending the law's articulation. The territory's God-ward face is the canonical Acts pattern; the idol-ward face is the gathered-body whose discernment-claim operates in service of a competing Object (institutional self-preservation, factional loyalty, the leader's idolatry transmitted to the body, the prosperity-gospel's communal expression). The law's articulation will need to address both directions explicitly.</w:t>
      </w:r>
    </w:p>
    <w:p>
      <w:pPr>
        <w:spacing w:after="160" w:line="300"/>
      </w:pPr>
      <w:r>
        <w:rPr>
          <w:rFonts w:ascii="Arial" w:cs="Arial" w:eastAsia="Arial" w:hAnsi="Arial"/>
          <w:b/>
          <w:bCs/>
          <w:i w:val="false"/>
          <w:iCs w:val="false"/>
          <w:sz w:val="22"/>
          <w:szCs w:val="22"/>
        </w:rPr>
        <w:t xml:space="preserve">P3/GII · V2.Exp9 — Community Amplification (H), Reasonably Inferred</w:t>
      </w:r>
    </w:p>
    <w:p>
      <w:pPr>
        <w:spacing w:after="160" w:line="300"/>
      </w:pPr>
      <w:r>
        <w:rPr>
          <w:rFonts w:ascii="Arial" w:cs="Arial" w:eastAsia="Arial" w:hAnsi="Arial"/>
          <w:b w:val="false"/>
          <w:bCs w:val="false"/>
          <w:i w:val="false"/>
          <w:iCs w:val="false"/>
          <w:sz w:val="22"/>
          <w:szCs w:val="22"/>
        </w:rPr>
        <w:t xml:space="preserve">The community functions as the amplifier of the formation work the individual participant is undertaking — providing the witness, the corrective challenge, the felt sense of being known, and the structural pressure toward sustained practice that individual practice cannot generate alone.</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amplification operates in either orientation. A community oriented around God's purposes amplifies the formation work the law describes; a community oriented around a competing Object amplifies the deformation work the same mechanism produces in the opposite direction. Cult dynamics, ideological community, and the gathered-around-the-grievance pattern all operate by the same amplification mechanism the law identifies; the orientation of the community determines whether the amplification produces formation or deformation. The gnostic-community warning the corpus carries (community amplification of an esoteric in-group's specialized knowledge) is one specific instantiation of the idol-ward operation. The law's positive-direction operation requires the community itself to be in God-ward orientation; this is non-trivial and not assumable.</w:t>
      </w:r>
    </w:p>
    <w:p>
      <w:pPr>
        <w:spacing w:after="160" w:line="300"/>
      </w:pPr>
      <w:r>
        <w:rPr>
          <w:rFonts w:ascii="Arial" w:cs="Arial" w:eastAsia="Arial" w:hAnsi="Arial"/>
          <w:b/>
          <w:bCs/>
          <w:i w:val="false"/>
          <w:iCs w:val="false"/>
          <w:sz w:val="22"/>
          <w:szCs w:val="22"/>
        </w:rPr>
        <w:t xml:space="preserve">P3/GIII · Speculative — Confession-Clarity Law (B), Reasonably Inferred ◆</w:t>
      </w:r>
    </w:p>
    <w:p>
      <w:pPr>
        <w:spacing w:after="160" w:line="300"/>
      </w:pPr>
      <w:r>
        <w:rPr>
          <w:rFonts w:ascii="Arial" w:cs="Arial" w:eastAsia="Arial" w:hAnsi="Arial"/>
          <w:b w:val="false"/>
          <w:bCs w:val="false"/>
          <w:i w:val="false"/>
          <w:iCs w:val="false"/>
          <w:sz w:val="22"/>
          <w:szCs w:val="22"/>
        </w:rPr>
        <w:t xml:space="preserve">The structural relationship between honest, owned confession (named in FL.II) and the clarity of self-perception that emerges from the confession act itself — confession produces clarity by externalizing the previously-internal account.</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idol-ward face of confession-clarity is performance-confession: the act of confessing without the honesty-and-ownership the law requires. Performance-confession produces the social benefit of the confession's appearance without the inward clarification of the genuine act, and over time hardens the participant's internal account further by reinforcing the gap between the public confession and the private state. Matt. 6:5's treatment of public prayer is the structural parallel: the same external act with different orientation produces different output. The mechanism operates in either direction; the orientation of the confessor determines which direction.</w:t>
      </w:r>
    </w:p>
    <w:p>
      <w:pPr>
        <w:spacing w:after="160" w:line="300"/>
      </w:pPr>
      <w:r>
        <w:rPr>
          <w:rFonts w:ascii="Arial" w:cs="Arial" w:eastAsia="Arial" w:hAnsi="Arial"/>
          <w:b/>
          <w:bCs/>
          <w:i w:val="false"/>
          <w:iCs w:val="false"/>
          <w:sz w:val="22"/>
          <w:szCs w:val="22"/>
        </w:rPr>
        <w:t xml:space="preserve">P3/GIV · V2.Exp8 — Container Law (Safe/Present/Clear/Intentional) (H), Reasonably Inferred</w:t>
      </w:r>
    </w:p>
    <w:p>
      <w:pPr>
        <w:spacing w:after="160" w:line="300"/>
      </w:pPr>
      <w:r>
        <w:rPr>
          <w:rFonts w:ascii="Arial" w:cs="Arial" w:eastAsia="Arial" w:hAnsi="Arial"/>
          <w:b w:val="false"/>
          <w:bCs w:val="false"/>
          <w:i w:val="false"/>
          <w:iCs w:val="false"/>
          <w:sz w:val="22"/>
          <w:szCs w:val="22"/>
        </w:rPr>
        <w:t xml:space="preserve">The container conditions a formation session requires — safe, present, clear, intentional — are not preferences but structural requirements; their violation produces injury that no amount of skilled tool-use can repair.</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container conditions operate as a structural requirement for formation work; their idol-ward inverse is the unsafe-or-distracted-or-unclear-or-aimless container that produces the injury the law warns against. Container failure can result from inattention (unintentional inversion), from the Companion's compromised state (the Companion's own idolatry operating through the session), or from the participant's pattern of recruiting the container into the service of a competing Object (the participant who treats the session as performance rather than as formation). The law's positive direction operates when the container conditions are met by both parties; the negative direction operates when any of the four conditions are compromised, regardless of which party is responsible.</w:t>
      </w:r>
    </w:p>
    <w:p>
      <w:pPr>
        <w:spacing w:after="160" w:line="300"/>
      </w:pPr>
      <w:r>
        <w:rPr>
          <w:rFonts w:ascii="Arial" w:cs="Arial" w:eastAsia="Arial" w:hAnsi="Arial"/>
          <w:b/>
          <w:bCs/>
          <w:i w:val="false"/>
          <w:iCs w:val="false"/>
          <w:sz w:val="22"/>
          <w:szCs w:val="22"/>
        </w:rPr>
        <w:t xml:space="preserve">P3/GV · V2.Exp1 — Heart Soil Diagnostic (I), Clearly Taught</w:t>
      </w:r>
    </w:p>
    <w:p>
      <w:pPr>
        <w:spacing w:after="160" w:line="300"/>
      </w:pPr>
      <w:r>
        <w:rPr>
          <w:rFonts w:ascii="Arial" w:cs="Arial" w:eastAsia="Arial" w:hAnsi="Arial"/>
          <w:b w:val="false"/>
          <w:bCs w:val="false"/>
          <w:i w:val="false"/>
          <w:iCs w:val="false"/>
          <w:sz w:val="22"/>
          <w:szCs w:val="22"/>
        </w:rPr>
        <w:t xml:space="preserve">The parable of the sower (Matt. 13) names four characteristic states of heart-soil — the path, the rocky ground, the thorny ground, the good soil — with diagnostic features that identify the participant's current state and the specific formation work each state needs.</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idol-ward face of the heart-soil diagnostic is named in the parable itself — the thorny ground is the heart whose soil is choked by the cares of the world and the deceitfulness of riches and the desires for other things (Mark 4:19). The "other things" are the canonical idol-ward Objects whose pursuit chokes the word. The diagnostic operates in either direction: identifying the soil-state as good is the precondition for the formation work to bear fruit; identifying the soil-state as thorny is the precondition for the work the FL.XIV Vanity-of-Substitutes Law describes — the dethroning of the competing Objects whose pursuit is choking the soil.</w:t>
      </w:r>
    </w:p>
    <w:p>
      <w:pPr>
        <w:spacing w:after="160" w:line="300"/>
      </w:pPr>
      <w:r>
        <w:rPr>
          <w:rFonts w:ascii="Arial" w:cs="Arial" w:eastAsia="Arial" w:hAnsi="Arial"/>
          <w:b/>
          <w:bCs/>
          <w:i w:val="false"/>
          <w:iCs w:val="false"/>
          <w:sz w:val="22"/>
          <w:szCs w:val="22"/>
        </w:rPr>
        <w:t xml:space="preserve">P3/GVI · ⚠ V2.Exp10 — Skill Development Law (Anomaly placement)</w:t>
      </w:r>
    </w:p>
    <w:p>
      <w:pPr>
        <w:spacing w:after="160" w:line="300"/>
      </w:pPr>
      <w:r>
        <w:rPr>
          <w:rFonts w:ascii="Arial" w:cs="Arial" w:eastAsia="Arial" w:hAnsi="Arial"/>
          <w:b w:val="false"/>
          <w:bCs w:val="false"/>
          <w:i w:val="false"/>
          <w:iCs w:val="false"/>
          <w:sz w:val="22"/>
          <w:szCs w:val="22"/>
        </w:rPr>
        <w:t xml:space="preserve">Anomalous placement: spans Individual and Community scales simultaneously. Skills develop in individuals, but the conditions for that development are almost entirely community-dependent. The placement ambiguity may point to a missing meta-law about how formation systems transfer across scales.</w:t>
      </w:r>
    </w:p>
    <w:p>
      <w:pPr>
        <w:spacing w:after="160" w:line="300"/>
      </w:pPr>
      <w:r>
        <w:rPr>
          <w:rFonts w:ascii="Arial" w:cs="Arial" w:eastAsia="Arial" w:hAnsi="Arial"/>
          <w:b/>
          <w:bCs/>
          <w:i/>
          <w:iCs/>
          <w:sz w:val="22"/>
          <w:szCs w:val="22"/>
        </w:rPr>
        <w:t xml:space="preserve">Mirror (orientation-neutral):</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Skill Development Law is structural rather than orientation-shaped — it describes the conditions under which skill develops, regardless of which skill or which direction of pursuit. The orientation question lives at the level of which skill is being developed (the formation Companion's skills, the disciple's skills, or skills in service of a competing Object) and what the developed skill is being used for. The law itself operates equally on either side of the orientation. The anomalous-placement question is structural rather than orientation-shaped. Mirror discipline names this directly.</w:t>
      </w:r>
    </w:p>
    <w:p>
      <w:pPr>
        <w:pStyle w:val="Heading3"/>
        <w:spacing w:after="160" w:before="240"/>
      </w:pPr>
      <w:r>
        <w:rPr>
          <w:rFonts w:ascii="Arial" w:cs="Arial" w:eastAsia="Arial" w:hAnsi="Arial"/>
          <w:b/>
          <w:bCs/>
          <w:sz w:val="26"/>
          <w:szCs w:val="26"/>
        </w:rPr>
        <w:t xml:space="preserve">PERIOD 4 — Generational / Historical</w:t>
      </w:r>
    </w:p>
    <w:p>
      <w:pPr>
        <w:spacing w:after="160" w:line="300"/>
      </w:pPr>
      <w:r>
        <w:rPr>
          <w:rFonts w:ascii="Arial" w:cs="Arial" w:eastAsia="Arial" w:hAnsi="Arial"/>
          <w:b/>
          <w:bCs/>
          <w:i w:val="false"/>
          <w:iCs w:val="false"/>
          <w:sz w:val="22"/>
          <w:szCs w:val="22"/>
        </w:rPr>
        <w:t xml:space="preserve">P4/GI · [ OPEN UNKNOWN ] — Spirit Anointing Transmission Law</w:t>
      </w:r>
    </w:p>
    <w:p>
      <w:pPr>
        <w:spacing w:after="160" w:line="300"/>
      </w:pPr>
      <w:r>
        <w:rPr>
          <w:rFonts w:ascii="Arial" w:cs="Arial" w:eastAsia="Arial" w:hAnsi="Arial"/>
          <w:b w:val="false"/>
          <w:bCs w:val="false"/>
          <w:i w:val="false"/>
          <w:iCs w:val="false"/>
          <w:sz w:val="22"/>
          <w:szCs w:val="22"/>
        </w:rPr>
        <w:t xml:space="preserve">How the Spirit's anointing passes across generations — the Moses→Joshua, Elijah→Elisha, Paul→Timothy patterns. Open priority research target.</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orientation-of-pursuit dimension at this cell remains unspecified pending the law's articulation. The territory's God-ward face is the canonical biblical pattern; the idol-ward face is the inverse-spiritual-authority transmission named at 1 Tim. 4:1's "deceiving spirits and teachings of demons" and 2 Tim. 3:13's "evil people and impostors will go on from bad to worse," with the same generational-transmission mechanism running in the opposite direction. The law's articulation will need to address both directions explicitly.</w:t>
      </w:r>
    </w:p>
    <w:p>
      <w:pPr>
        <w:spacing w:after="160" w:line="300"/>
      </w:pPr>
      <w:r>
        <w:rPr>
          <w:rFonts w:ascii="Arial" w:cs="Arial" w:eastAsia="Arial" w:hAnsi="Arial"/>
          <w:b/>
          <w:bCs/>
          <w:i w:val="false"/>
          <w:iCs w:val="false"/>
          <w:sz w:val="22"/>
          <w:szCs w:val="22"/>
        </w:rPr>
        <w:t xml:space="preserve">P4/GII · Speculative — Gratitude Amplifier (V), Speculative ◆</w:t>
      </w:r>
    </w:p>
    <w:p>
      <w:pPr>
        <w:spacing w:after="160" w:line="300"/>
      </w:pPr>
      <w:r>
        <w:rPr>
          <w:rFonts w:ascii="Arial" w:cs="Arial" w:eastAsia="Arial" w:hAnsi="Arial"/>
          <w:b w:val="false"/>
          <w:bCs w:val="false"/>
          <w:i w:val="false"/>
          <w:iCs w:val="false"/>
          <w:sz w:val="22"/>
          <w:szCs w:val="22"/>
        </w:rPr>
        <w:t xml:space="preserve">Sustained gratitude operates as an amplifier of the participant's perception of the goodness already present, producing the deepening of the perception that the gratitude has, in turn, fresh material for. The mechanism is self-reinforcing.</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Sustained ingratitude operates as the idol-ward face the law identifies in its inverse direction. Rom. 1:21 names ingratitude as the first move of the exchange cascade ("they did not honor him as God or give thanks to him, but they became futile in their thinking"). The mechanism is the same (the disposition shapes the perception which shapes the available material for further disposition); the orientation of the disposition determines the direction of the spiral. Gratitude amplifies God-ward perception; ingratitude amplifies idol-ward perception. The two are not symmetric in their developmental trajectory — gratitude is self-reinforcing upward in a way ingratitude is self-reinforcing downward, with different terminal states.</w:t>
      </w:r>
    </w:p>
    <w:p>
      <w:pPr>
        <w:spacing w:after="160" w:line="300"/>
      </w:pPr>
      <w:r>
        <w:rPr>
          <w:rFonts w:ascii="Arial" w:cs="Arial" w:eastAsia="Arial" w:hAnsi="Arial"/>
          <w:b/>
          <w:bCs/>
          <w:i w:val="false"/>
          <w:iCs w:val="false"/>
          <w:sz w:val="22"/>
          <w:szCs w:val="22"/>
        </w:rPr>
        <w:t xml:space="preserve">P4/GII · [ OPEN UNKNOWN ] — Household Formation Law (God-ward face)</w:t>
      </w:r>
    </w:p>
    <w:p>
      <w:pPr>
        <w:spacing w:after="160" w:line="300"/>
      </w:pPr>
      <w:r>
        <w:rPr>
          <w:rFonts w:ascii="Arial" w:cs="Arial" w:eastAsia="Arial" w:hAnsi="Arial"/>
          <w:b w:val="false"/>
          <w:bCs w:val="false"/>
          <w:i w:val="false"/>
          <w:iCs w:val="false"/>
          <w:sz w:val="22"/>
          <w:szCs w:val="22"/>
        </w:rPr>
        <w:t xml:space="preserve">The mechanism by which the Shema's "teach them diligently to your children" structure produces the multigenerational transmission of sincere faith (Lois → Eunice → Timothy, 2 Tim. 1:5). The God-ward face of the orientation-of-pursuit dynamic at the Heart-Generational cell. Open priority research target. Paired with FL.XVII Substitution-Cascade at the same cell.</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Household Formation Law's idol-ward face is named in full by FL.XVII Substitution-Cascade Law at the same Period/Group cell. The God-ward face is the deliberate teaching, sustained modeling, and explicit naming the Shema describes; the idol-ward face is the implicit-learning channel through which inherited Objects transmit by default. The two laws together cover the bidirectional whole; the Household Formation Law's full articulation is reserved for future revision pending the priority research the Six Priority Open Unknowns section names.</w:t>
      </w:r>
    </w:p>
    <w:p>
      <w:pPr>
        <w:spacing w:after="160" w:line="300"/>
      </w:pPr>
      <w:r>
        <w:rPr>
          <w:rFonts w:ascii="Arial" w:cs="Arial" w:eastAsia="Arial" w:hAnsi="Arial"/>
          <w:b/>
          <w:bCs/>
          <w:i w:val="false"/>
          <w:iCs w:val="false"/>
          <w:sz w:val="22"/>
          <w:szCs w:val="22"/>
        </w:rPr>
        <w:t xml:space="preserve">P4/GII · FL.XVII (Foundational) — Substitution-Cascade Law (H), Clearly Taught (operational) / Reasonably Inferred (substrate)</w:t>
      </w:r>
    </w:p>
    <w:p>
      <w:pPr>
        <w:spacing w:after="160" w:line="300"/>
      </w:pPr>
      <w:r>
        <w:rPr>
          <w:rFonts w:ascii="Arial" w:cs="Arial" w:eastAsia="Arial" w:hAnsi="Arial"/>
          <w:b w:val="false"/>
          <w:bCs w:val="false"/>
          <w:i w:val="false"/>
          <w:iCs w:val="false"/>
          <w:sz w:val="22"/>
          <w:szCs w:val="22"/>
        </w:rPr>
        <w:t xml:space="preserve">Household idolatry transmits across generations through the implicit-learning channel of family culture, in such a way that what one generation enthrones becomes the default the next generation absorbs as part of the family's operating reality (Exod. 20:5–6; Jer. 9:13–14; Ezek. 20:18). The transmission operates asymmetrically with respect to its inverse: the enthroning of inherited Objects requires only inheritance, while the dethroning requires deliberate recognition that they are defaults rather than realities. The cascade compounds across generations and is broken by external intervention rather than by natural exhaustion. New in v5_6_0_5 from the third-axis test.</w:t>
      </w:r>
    </w:p>
    <w:p>
      <w:pPr>
        <w:spacing w:after="160" w:line="300"/>
      </w:pPr>
      <w:r>
        <w:rPr>
          <w:rFonts w:ascii="Arial" w:cs="Arial" w:eastAsia="Arial" w:hAnsi="Arial"/>
          <w:b/>
          <w:bCs/>
          <w:i/>
          <w:iCs/>
          <w:sz w:val="22"/>
          <w:szCs w:val="22"/>
        </w:rPr>
        <w:t xml:space="preserve">Mirror (constitutive):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FL.XVII's God-ward face is the still-Open Household Formation Law at the same cell. FL.XVII is itself the idol-ward face of the bidirectional dynamic; the Household Formation Law, when articulated, will be the God-ward face. The two laws together cover the bidirectional whole of the Heart-Generational cell.</w:t>
      </w:r>
    </w:p>
    <w:p>
      <w:pPr>
        <w:spacing w:after="160" w:line="300"/>
      </w:pPr>
      <w:r>
        <w:rPr>
          <w:rFonts w:ascii="Arial" w:cs="Arial" w:eastAsia="Arial" w:hAnsi="Arial"/>
          <w:b/>
          <w:bCs/>
          <w:i w:val="false"/>
          <w:iCs w:val="false"/>
          <w:sz w:val="22"/>
          <w:szCs w:val="22"/>
        </w:rPr>
        <w:t xml:space="preserve">P4/GIII · Speculative — Generational Transmission (H), Speculative ◆</w:t>
      </w:r>
    </w:p>
    <w:p>
      <w:pPr>
        <w:spacing w:after="160" w:line="300"/>
      </w:pPr>
      <w:r>
        <w:rPr>
          <w:rFonts w:ascii="Arial" w:cs="Arial" w:eastAsia="Arial" w:hAnsi="Arial"/>
          <w:b w:val="false"/>
          <w:bCs w:val="false"/>
          <w:i w:val="false"/>
          <w:iCs w:val="false"/>
          <w:sz w:val="22"/>
          <w:szCs w:val="22"/>
        </w:rPr>
        <w:t xml:space="preserve">Patterns of soul-integration and soul-disintegration transmit across generations through the family's emotional-and-relational substrate, with the inherited patterns operating as defaults the next generation must consciously work with rather than as choices the next generation makes.</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Generational Transmission as currently held is a soul-level dynamic with operation in both directions, with the orientation of the family's interior life determining the orientation of what is transmitted. Sustained generational sanctification produces soul-integration patterns that transmit downstream as supporting structure for the next generation's formation work; sustained generational sin patterns produce soul-disintegration that transmits as the inherited load the next generation receives as default. The law operates in either direction; the orientation of the upstream generation determines the orientation of what flows downstream.</w:t>
      </w:r>
    </w:p>
    <w:p>
      <w:pPr>
        <w:spacing w:after="160" w:line="300"/>
      </w:pPr>
      <w:r>
        <w:rPr>
          <w:rFonts w:ascii="Arial" w:cs="Arial" w:eastAsia="Arial" w:hAnsi="Arial"/>
          <w:b/>
          <w:bCs/>
          <w:i w:val="false"/>
          <w:iCs w:val="false"/>
          <w:sz w:val="22"/>
          <w:szCs w:val="22"/>
        </w:rPr>
        <w:t xml:space="preserve">P4/GIV · [ OPEN UNKNOWN ] — Doctrinal Calcification Law</w:t>
      </w:r>
    </w:p>
    <w:p>
      <w:pPr>
        <w:spacing w:after="160" w:line="300"/>
      </w:pPr>
      <w:r>
        <w:rPr>
          <w:rFonts w:ascii="Arial" w:cs="Arial" w:eastAsia="Arial" w:hAnsi="Arial"/>
          <w:b w:val="false"/>
          <w:bCs w:val="false"/>
          <w:i w:val="false"/>
          <w:iCs w:val="false"/>
          <w:sz w:val="22"/>
          <w:szCs w:val="22"/>
        </w:rPr>
        <w:t xml:space="preserve">How received doctrine progressively calcifies into received error across generations when not held under the discipline of returning-to-scripture and community-testing. Open priority research target.</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orientation-of-pursuit dimension at this cell points toward the orientation of the doctrinal practice itself: doctrine held under God-ward orientation (returning to scripture, community testing, willingness to be reformed) resists calcification; doctrine held under idol-ward orientation (the institution's self-preservation, the tradition's claim of completed truth, the doctrine-as-throne dynamic) calcifies more readily. The law's articulation will need to address the mechanism by which the calcification proceeds.</w:t>
      </w:r>
    </w:p>
    <w:p>
      <w:pPr>
        <w:spacing w:after="160" w:line="300"/>
      </w:pPr>
      <w:r>
        <w:rPr>
          <w:rFonts w:ascii="Arial" w:cs="Arial" w:eastAsia="Arial" w:hAnsi="Arial"/>
          <w:b/>
          <w:bCs/>
          <w:i w:val="false"/>
          <w:iCs w:val="false"/>
          <w:sz w:val="22"/>
          <w:szCs w:val="22"/>
        </w:rPr>
        <w:t xml:space="preserve">P4/GV · [ OPEN UNKNOWN ] — Thick Practice Transmission Law</w:t>
      </w:r>
    </w:p>
    <w:p>
      <w:pPr>
        <w:spacing w:after="160" w:line="300"/>
      </w:pPr>
      <w:r>
        <w:rPr>
          <w:rFonts w:ascii="Arial" w:cs="Arial" w:eastAsia="Arial" w:hAnsi="Arial"/>
          <w:b w:val="false"/>
          <w:bCs w:val="false"/>
          <w:i w:val="false"/>
          <w:iCs w:val="false"/>
          <w:sz w:val="22"/>
          <w:szCs w:val="22"/>
        </w:rPr>
        <w:t xml:space="preserve">How embodied, repeated practices (the liturgical, the catechetical, the household-rule, the sabbath) transmit formation across generations more durably than propositional content alone. Open priority research target.</w:t>
      </w:r>
    </w:p>
    <w:p>
      <w:pPr>
        <w:spacing w:after="160" w:line="300"/>
      </w:pPr>
      <w:r>
        <w:rPr>
          <w:rFonts w:ascii="Arial" w:cs="Arial" w:eastAsia="Arial" w:hAnsi="Arial"/>
          <w:b/>
          <w:bCs/>
          <w:i w:val="false"/>
          <w:iCs w:val="false"/>
          <w:sz w:val="22"/>
          <w:szCs w:val="22"/>
        </w:rPr>
        <w:t xml:space="preserve">P4/GVI · [ OPEN UNKNOWN ] — Generational Nested Structure Law</w:t>
      </w:r>
    </w:p>
    <w:p>
      <w:pPr>
        <w:spacing w:after="160" w:line="300"/>
      </w:pPr>
      <w:r>
        <w:rPr>
          <w:rFonts w:ascii="Arial" w:cs="Arial" w:eastAsia="Arial" w:hAnsi="Arial"/>
          <w:b w:val="false"/>
          <w:bCs w:val="false"/>
          <w:i w:val="false"/>
          <w:iCs w:val="false"/>
          <w:sz w:val="22"/>
          <w:szCs w:val="22"/>
        </w:rPr>
        <w:t xml:space="preserve">How the V1.Exp2 Nested Person Structure operates at the generational scale — the family's spirit / heart / soul / mind / body / structural-frame as nested across generations rather than only across the individual person. Open priority research target.</w:t>
      </w:r>
    </w:p>
    <w:p>
      <w:pPr>
        <w:pStyle w:val="Heading3"/>
        <w:spacing w:after="160" w:before="240"/>
      </w:pPr>
      <w:r>
        <w:rPr>
          <w:rFonts w:ascii="Arial" w:cs="Arial" w:eastAsia="Arial" w:hAnsi="Arial"/>
          <w:b/>
          <w:bCs/>
          <w:sz w:val="26"/>
          <w:szCs w:val="26"/>
        </w:rPr>
        <w:t xml:space="preserve">PERIOD 5 — Cosmic / Eschatological</w:t>
      </w:r>
    </w:p>
    <w:p>
      <w:pPr>
        <w:spacing w:after="160" w:line="300"/>
      </w:pPr>
      <w:r>
        <w:rPr>
          <w:rFonts w:ascii="Arial" w:cs="Arial" w:eastAsia="Arial" w:hAnsi="Arial"/>
          <w:b/>
          <w:bCs/>
          <w:i w:val="false"/>
          <w:iCs w:val="false"/>
          <w:sz w:val="22"/>
          <w:szCs w:val="22"/>
        </w:rPr>
        <w:t xml:space="preserve">P5/GI · V1.Open — Miracle Frame (Natural ⊂ Spiritual) (V), Reasonably Inferred</w:t>
      </w:r>
    </w:p>
    <w:p>
      <w:pPr>
        <w:spacing w:after="160" w:line="300"/>
      </w:pPr>
      <w:r>
        <w:rPr>
          <w:rFonts w:ascii="Arial" w:cs="Arial" w:eastAsia="Arial" w:hAnsi="Arial"/>
          <w:b w:val="false"/>
          <w:bCs w:val="false"/>
          <w:i w:val="false"/>
          <w:iCs w:val="false"/>
          <w:sz w:val="22"/>
          <w:szCs w:val="22"/>
        </w:rPr>
        <w:t xml:space="preserve">The natural order is held within the larger spiritual order rather than the other way around; miracles are not violations of the natural but the spiritual order's operation through the natural where God's purposes warrant.</w:t>
      </w:r>
    </w:p>
    <w:p>
      <w:pPr>
        <w:spacing w:after="160" w:line="300"/>
      </w:pPr>
      <w:r>
        <w:rPr>
          <w:rFonts w:ascii="Arial" w:cs="Arial" w:eastAsia="Arial" w:hAnsi="Arial"/>
          <w:b/>
          <w:bCs/>
          <w:i/>
          <w:iCs/>
          <w:sz w:val="22"/>
          <w:szCs w:val="22"/>
        </w:rPr>
        <w:t xml:space="preserve">Mirror (orientation-neutral):</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Miracle Frame is architectural — it describes the relationship between the natural and spiritual orders. The frame itself does not carry orientation; God-ward and idol-ward operations both occur within the frame, and the frame's existence is the precondition for either. The orientation question lives at the level of the miracle's source (God or competing power) and purpose (to confirm the God-ward gospel or to support idol-ward claim — see Matt. 24:24's warning about false signs and wonders), not at the level of the frame itself. Mirror discipline names this directly.</w:t>
      </w:r>
    </w:p>
    <w:p>
      <w:pPr>
        <w:spacing w:after="160" w:line="300"/>
      </w:pPr>
      <w:r>
        <w:rPr>
          <w:rFonts w:ascii="Arial" w:cs="Arial" w:eastAsia="Arial" w:hAnsi="Arial"/>
          <w:b/>
          <w:bCs/>
          <w:i w:val="false"/>
          <w:iCs w:val="false"/>
          <w:sz w:val="22"/>
          <w:szCs w:val="22"/>
        </w:rPr>
        <w:t xml:space="preserve">P5/GII · Speculative — Worship Alignment Law (V), Speculative ◆</w:t>
      </w:r>
    </w:p>
    <w:p>
      <w:pPr>
        <w:spacing w:after="160" w:line="300"/>
      </w:pPr>
      <w:r>
        <w:rPr>
          <w:rFonts w:ascii="Arial" w:cs="Arial" w:eastAsia="Arial" w:hAnsi="Arial"/>
          <w:b w:val="false"/>
          <w:bCs w:val="false"/>
          <w:i w:val="false"/>
          <w:iCs w:val="false"/>
          <w:sz w:val="22"/>
          <w:szCs w:val="22"/>
        </w:rPr>
        <w:t xml:space="preserve">Sustained worship of God recalibrates the participant's perception of reality toward the participant's worshiped Object, with the perception's correctness depending on whether the worshiped Object is the One who is.</w:t>
      </w:r>
    </w:p>
    <w:p>
      <w:pPr>
        <w:spacing w:after="160" w:line="300"/>
      </w:pPr>
      <w:r>
        <w:rPr>
          <w:rFonts w:ascii="Arial" w:cs="Arial" w:eastAsia="Arial" w:hAnsi="Arial"/>
          <w:b/>
          <w:bCs/>
          <w:i/>
          <w:iCs/>
          <w:sz w:val="22"/>
          <w:szCs w:val="22"/>
        </w:rPr>
        <w:t xml:space="preserve">Mirror (constitutive):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Worship Alignment is one of the laws whose content is itself the orientation-of-pursuit dimension. The God-ward face is the sustained worship of the One who is, producing perceptual recalibration toward what is in fact the case. The idol-ward face is the sustained worship of any other Object, producing perceptual recalibration toward what is not in fact the case — the deformation Rom. 1:21–25 names as the dishonoring exchange's consequence. The two faces together constitute the bidirectional whole of the worship-shapes-perception dynamic at the cosmic scale.</w:t>
      </w:r>
    </w:p>
    <w:p>
      <w:pPr>
        <w:spacing w:after="160" w:line="300"/>
      </w:pPr>
      <w:r>
        <w:rPr>
          <w:rFonts w:ascii="Arial" w:cs="Arial" w:eastAsia="Arial" w:hAnsi="Arial"/>
          <w:b/>
          <w:bCs/>
          <w:i w:val="false"/>
          <w:iCs w:val="false"/>
          <w:sz w:val="22"/>
          <w:szCs w:val="22"/>
        </w:rPr>
        <w:t xml:space="preserve">P5/GIII · MSFIG / Spec — Suffering-as-Formation Loop (V), Reasonably Inferred ◆</w:t>
      </w:r>
    </w:p>
    <w:p>
      <w:pPr>
        <w:spacing w:after="160" w:line="300"/>
      </w:pPr>
      <w:r>
        <w:rPr>
          <w:rFonts w:ascii="Arial" w:cs="Arial" w:eastAsia="Arial" w:hAnsi="Arial"/>
          <w:b w:val="false"/>
          <w:bCs w:val="false"/>
          <w:i w:val="false"/>
          <w:iCs w:val="false"/>
          <w:sz w:val="22"/>
          <w:szCs w:val="22"/>
        </w:rPr>
        <w:t xml:space="preserve">Sustained suffering operates as formation under specific conditions — when the participant's orientation is sustained-God-ward through the suffering, when the suffering is not refused but received as the formation material it is, and when the participant has the community and tools required to do the formation work the suffering presents.</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Suffering-as-Formation Loop's idol-ward face is sustained suffering operating as deformation rather than as formation — when the participant's orientation is sustained-idol-ward through the suffering (the suffering used as raw material for the false-self's reconstruction), when the suffering is refused at the level of God's hand in it (Job's wife's "curse God and die"), or when the participant lacks the community and tools required to do the formation work. Rom. 5:3–5 names the God-ward direction in detail (suffering → endurance → character → hope); the idol-ward direction terminates in the bitterness Heb. 12:15 warns against. Same suffering, opposite orientations, opposite outputs.</w:t>
      </w:r>
    </w:p>
    <w:p>
      <w:pPr>
        <w:spacing w:after="160" w:line="300"/>
      </w:pPr>
      <w:r>
        <w:rPr>
          <w:rFonts w:ascii="Arial" w:cs="Arial" w:eastAsia="Arial" w:hAnsi="Arial"/>
          <w:b/>
          <w:bCs/>
          <w:i w:val="false"/>
          <w:iCs w:val="false"/>
          <w:sz w:val="22"/>
          <w:szCs w:val="22"/>
        </w:rPr>
        <w:t xml:space="preserve">P5/GIV · Speculative — Attention Economy of the Soul (V), Reasonably Inferred ◆</w:t>
      </w:r>
    </w:p>
    <w:p>
      <w:pPr>
        <w:spacing w:after="160" w:line="300"/>
      </w:pPr>
      <w:r>
        <w:rPr>
          <w:rFonts w:ascii="Arial" w:cs="Arial" w:eastAsia="Arial" w:hAnsi="Arial"/>
          <w:b w:val="false"/>
          <w:bCs w:val="false"/>
          <w:i w:val="false"/>
          <w:iCs w:val="false"/>
          <w:sz w:val="22"/>
          <w:szCs w:val="22"/>
        </w:rPr>
        <w:t xml:space="preserve">Sustained attention is the currency the soul exchanges; what the soul sustains attention toward, it moves toward and is changed by. Cosmic-scale operation of the Renewal-of-Mind mechanism (FL.XI) at the Mind/Will column.</w:t>
      </w:r>
    </w:p>
    <w:p>
      <w:pPr>
        <w:spacing w:after="160" w:line="300"/>
      </w:pPr>
      <w:r>
        <w:rPr>
          <w:rFonts w:ascii="Arial" w:cs="Arial" w:eastAsia="Arial" w:hAnsi="Arial"/>
          <w:b/>
          <w:bCs/>
          <w:i/>
          <w:iCs/>
          <w:sz w:val="22"/>
          <w:szCs w:val="22"/>
        </w:rPr>
        <w:t xml:space="preserve">Mirror (constitutive):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Attention Economy of the Soul is one of the laws whose content is itself the orientation-of-pursuit dimension. The God-ward face is sustained attention toward God producing conformity to Christ (2 Cor. 3:18); the idol-ward face is sustained attention toward any other Object producing conformity to that Object (Rom. 12:2a, conformity to the pattern of the age). The mechanism is the same; the Object of attention determines the direction of conformity. The two faces together constitute the bidirectional whole of the attention-shapes-being dynamic at the cosmic scale.</w:t>
      </w:r>
    </w:p>
    <w:p>
      <w:pPr>
        <w:pStyle w:val="Heading2"/>
        <w:spacing w:after="160" w:before="240"/>
      </w:pPr>
      <w:r>
        <w:rPr>
          <w:rFonts w:ascii="Arial" w:cs="Arial" w:eastAsia="Arial" w:hAnsi="Arial"/>
          <w:b/>
          <w:bCs/>
          <w:sz w:val="30"/>
          <w:szCs w:val="30"/>
        </w:rPr>
        <w:t xml:space="preserve">The Six Group Families</w:t>
      </w:r>
    </w:p>
    <w:p>
      <w:pPr>
        <w:spacing w:after="160" w:line="300"/>
      </w:pPr>
      <w:r>
        <w:rPr>
          <w:rFonts w:ascii="Arial" w:cs="Arial" w:eastAsia="Arial" w:hAnsi="Arial"/>
          <w:b w:val="false"/>
          <w:bCs w:val="false"/>
          <w:i w:val="false"/>
          <w:iCs w:val="false"/>
          <w:sz w:val="22"/>
          <w:szCs w:val="22"/>
        </w:rPr>
        <w:t xml:space="preserve">The six columns of the table each name a family of laws whose primary operation is on one dimension of the person. Reading the columns vertically gives a different analytical view than reading the rows horizontally; both views are useful.</w:t>
      </w:r>
    </w:p>
    <w:p>
      <w:pPr>
        <w:spacing w:after="160" w:line="300"/>
      </w:pPr>
      <w:r>
        <w:rPr>
          <w:rFonts w:ascii="Arial" w:cs="Arial" w:eastAsia="Arial" w:hAnsi="Arial"/>
          <w:b/>
          <w:bCs/>
          <w:i w:val="false"/>
          <w:iCs w:val="false"/>
          <w:sz w:val="22"/>
          <w:szCs w:val="22"/>
        </w:rPr>
        <w:t xml:space="preserve">Group I (Spirit, innermost):</w:t>
      </w:r>
      <w:r>
        <w:rPr>
          <w:rFonts w:ascii="Arial" w:cs="Arial" w:eastAsia="Arial" w:hAnsi="Arial"/>
          <w:b w:val="false"/>
          <w:bCs w:val="false"/>
          <w:i w:val="false"/>
          <w:iCs w:val="false"/>
          <w:sz w:val="22"/>
          <w:szCs w:val="22"/>
        </w:rPr>
        <w:t xml:space="preserve"> Laws operating on the spirit dimension — the deepest layer of the person, where God's address most directly meets the human, where the prophetic operates, where the spiritual-authority delegation is received. The column holds Fear of the Lord, Drawing-Near, Ask-Seek-Knock, and FL.XV Hardening Law at P0 (the scale-invariant channel-blocking law in the Spirit column, new in v5_6_0_5). Prayer Resonance, Prophetic Imagination, and the new Counter-Resonance Law occupy the dyadic-scale Period 2. The Miracle Frame holds the cosmic-scale entry. The column's Period 3 Gathered-Body Discernment cell remains Open, as does the Period 4 Spirit Anointing Transmission cell — the Spirit column has its densest gap at the community-to-generational scales.</w:t>
      </w:r>
    </w:p>
    <w:p>
      <w:pPr>
        <w:spacing w:after="160" w:line="300"/>
      </w:pPr>
      <w:r>
        <w:rPr>
          <w:rFonts w:ascii="Arial" w:cs="Arial" w:eastAsia="Arial" w:hAnsi="Arial"/>
          <w:b/>
          <w:bCs/>
          <w:i w:val="false"/>
          <w:iCs w:val="false"/>
          <w:sz w:val="22"/>
          <w:szCs w:val="22"/>
        </w:rPr>
        <w:t xml:space="preserve">Group II (Heart, desire and will):</w:t>
      </w:r>
      <w:r>
        <w:rPr>
          <w:rFonts w:ascii="Arial" w:cs="Arial" w:eastAsia="Arial" w:hAnsi="Arial"/>
          <w:b w:val="false"/>
          <w:bCs w:val="false"/>
          <w:i w:val="false"/>
          <w:iCs w:val="false"/>
          <w:sz w:val="22"/>
          <w:szCs w:val="22"/>
        </w:rPr>
        <w:t xml:space="preserve"> The orientation-of-pursuit column, densified in v5_6_0_5 by the third-axis test. At P1/GII the column now holds FL.III Heart-Throne (which Object the heart enthrones), FL.VIII Desire-for-God (the engine of God-ward longing), FL.XIII Pure-Heart Vision (single-Object orientation as gateway), and the new FL.XIV Vanity-of-Substitutes (structural failure of every alternative engine), with V1.Exp1 Faith Generation and V1.Exp3 Faith-Hope-Love Triad as supporting Reasonably-Inferred entries. At P4/GII the new FL.XVII Substitution-Cascade Law completes the idol-ward face of the territory the still-Open Household Formation Law occupies. The Heart column's density in the orientation dimension is appropriate to the column's content — orientation of pursuit is by its nature a heart-level dynamic, and the table now reflects that.</w:t>
      </w:r>
    </w:p>
    <w:p>
      <w:pPr>
        <w:spacing w:after="160" w:line="300"/>
      </w:pPr>
      <w:r>
        <w:rPr>
          <w:rFonts w:ascii="Arial" w:cs="Arial" w:eastAsia="Arial" w:hAnsi="Arial"/>
          <w:b/>
          <w:bCs/>
          <w:i w:val="false"/>
          <w:iCs w:val="false"/>
          <w:sz w:val="22"/>
          <w:szCs w:val="22"/>
        </w:rPr>
        <w:t xml:space="preserve">Group III (Soul, integration):</w:t>
      </w:r>
      <w:r>
        <w:rPr>
          <w:rFonts w:ascii="Arial" w:cs="Arial" w:eastAsia="Arial" w:hAnsi="Arial"/>
          <w:b w:val="false"/>
          <w:bCs w:val="false"/>
          <w:i w:val="false"/>
          <w:iCs w:val="false"/>
          <w:sz w:val="22"/>
          <w:szCs w:val="22"/>
        </w:rPr>
        <w:t xml:space="preserve"> Laws operating on the soul's integration of the spirit, heart, mind, and body into a coherent person. The column holds Soul Disorder Awareness, Humility-Exaltation, Emotional Knot Law, Tool-Application, Confession-Clarity, and Suffering-as-Formation Loop. The column's content is less dense than the others because the soul's integration is the </w:t>
      </w:r>
      <w:r>
        <w:rPr>
          <w:rFonts w:ascii="Arial" w:cs="Arial" w:eastAsia="Arial" w:hAnsi="Arial"/>
          <w:b w:val="false"/>
          <w:bCs w:val="false"/>
          <w:i/>
          <w:iCs/>
          <w:sz w:val="22"/>
          <w:szCs w:val="22"/>
        </w:rPr>
        <w:t xml:space="preserve">output</w:t>
      </w:r>
      <w:r>
        <w:rPr>
          <w:rFonts w:ascii="Arial" w:cs="Arial" w:eastAsia="Arial" w:hAnsi="Arial"/>
          <w:b w:val="false"/>
          <w:bCs w:val="false"/>
          <w:i w:val="false"/>
          <w:iCs w:val="false"/>
          <w:sz w:val="22"/>
          <w:szCs w:val="22"/>
        </w:rPr>
        <w:t xml:space="preserve"> of the other dimensions operating well, more than it is the </w:t>
      </w:r>
      <w:r>
        <w:rPr>
          <w:rFonts w:ascii="Arial" w:cs="Arial" w:eastAsia="Arial" w:hAnsi="Arial"/>
          <w:b w:val="false"/>
          <w:bCs w:val="false"/>
          <w:i/>
          <w:iCs/>
          <w:sz w:val="22"/>
          <w:szCs w:val="22"/>
        </w:rPr>
        <w:t xml:space="preserve">input</w:t>
      </w:r>
      <w:r>
        <w:rPr>
          <w:rFonts w:ascii="Arial" w:cs="Arial" w:eastAsia="Arial" w:hAnsi="Arial"/>
          <w:b w:val="false"/>
          <w:bCs w:val="false"/>
          <w:i w:val="false"/>
          <w:iCs w:val="false"/>
          <w:sz w:val="22"/>
          <w:szCs w:val="22"/>
        </w:rPr>
        <w:t xml:space="preserve"> to its own set of laws — the column catches the integration-specific laws rather than the integration's components.</w:t>
      </w:r>
    </w:p>
    <w:p>
      <w:pPr>
        <w:spacing w:after="160" w:line="300"/>
      </w:pPr>
      <w:r>
        <w:rPr>
          <w:rFonts w:ascii="Arial" w:cs="Arial" w:eastAsia="Arial" w:hAnsi="Arial"/>
          <w:b/>
          <w:bCs/>
          <w:i w:val="false"/>
          <w:iCs w:val="false"/>
          <w:sz w:val="22"/>
          <w:szCs w:val="22"/>
        </w:rPr>
        <w:t xml:space="preserve">Group IV (Mind / Will, cognition):</w:t>
      </w:r>
      <w:r>
        <w:rPr>
          <w:rFonts w:ascii="Arial" w:cs="Arial" w:eastAsia="Arial" w:hAnsi="Arial"/>
          <w:b w:val="false"/>
          <w:bCs w:val="false"/>
          <w:i w:val="false"/>
          <w:iCs w:val="false"/>
          <w:sz w:val="22"/>
          <w:szCs w:val="22"/>
        </w:rPr>
        <w:t xml:space="preserve"> Laws operating on the cognitive-and-volitional dimension. The column holds the Wisdom Cluster, Renewal-of-Mind Transformation, the Cognitive Root of Knots, the Container Law (which is positioned here for its cognitive-clarity content though it is partly Group VI), and the Attention Economy of the Soul. The column's anchor is FL.XI Renewal-of-Mind at P1/GIV; the cosmic-scale parent is the speculative Attention Economy of the Soul at P5/GIV. The Doctrinal Calcification Law at P4/GIV remains Open.</w:t>
      </w:r>
    </w:p>
    <w:p>
      <w:pPr>
        <w:spacing w:after="160" w:line="300"/>
      </w:pPr>
      <w:r>
        <w:rPr>
          <w:rFonts w:ascii="Arial" w:cs="Arial" w:eastAsia="Arial" w:hAnsi="Arial"/>
          <w:b/>
          <w:bCs/>
          <w:i w:val="false"/>
          <w:iCs w:val="false"/>
          <w:sz w:val="22"/>
          <w:szCs w:val="22"/>
        </w:rPr>
        <w:t xml:space="preserve">Group V (Body / Action, embodied):</w:t>
      </w:r>
      <w:r>
        <w:rPr>
          <w:rFonts w:ascii="Arial" w:cs="Arial" w:eastAsia="Arial" w:hAnsi="Arial"/>
          <w:b w:val="false"/>
          <w:bCs w:val="false"/>
          <w:i w:val="false"/>
          <w:iCs w:val="false"/>
          <w:sz w:val="22"/>
          <w:szCs w:val="22"/>
        </w:rPr>
        <w:t xml:space="preserve"> Laws operating on the embodied-and-active dimension. The column holds Confession-Restoration, Obedience Channel, Spiritual Authority, Hear-and-Obey Blessing (FL.VI), and the new FL.XVI Bondage Law at the scale-invariant Period 0 — paired with FL.VI as its idol-ward counterpart. At P2/GV the column also holds Sin Blockage, Forgiveness-Debt Transfer, Reciprocal Forgiveness, and Honor-Authority Flourishing — making the dyadic-scale Body/Action column one of the densest cells in the table after the third-axis test's additions. The Body/Action column's density at P0 and P2 reflects the embodied-and-active character of the obedience-and-disobedience dynamics the column catches.</w:t>
      </w:r>
    </w:p>
    <w:p>
      <w:pPr>
        <w:spacing w:after="160" w:line="300"/>
      </w:pPr>
      <w:r>
        <w:rPr>
          <w:rFonts w:ascii="Arial" w:cs="Arial" w:eastAsia="Arial" w:hAnsi="Arial"/>
          <w:b/>
          <w:bCs/>
          <w:i w:val="false"/>
          <w:iCs w:val="false"/>
          <w:sz w:val="22"/>
          <w:szCs w:val="22"/>
        </w:rPr>
        <w:t xml:space="preserve">Group VI (Structural Frame, architecture):</w:t>
      </w:r>
      <w:r>
        <w:rPr>
          <w:rFonts w:ascii="Arial" w:cs="Arial" w:eastAsia="Arial" w:hAnsi="Arial"/>
          <w:b w:val="false"/>
          <w:bCs w:val="false"/>
          <w:i w:val="false"/>
          <w:iCs w:val="false"/>
          <w:sz w:val="22"/>
          <w:szCs w:val="22"/>
        </w:rPr>
        <w:t xml:space="preserve"> The column for laws that are primarily architectural — describing the landscape within which the other laws operate. The column holds the Nested Person Structure at P1, the Four Connects arc at P2, the Sowing-and-Reaping Law (FL.I) at P0 (the scale-invariant architectural anchor), the anomalous Skill Development Law placement at P3, and the four Vol 3 forward-references at P5 (TFT, Spiritual Distance, Quantification Program, Glory Attractor / Eschatological Law). The Period 4 Generational Nested Structure cell remains Open. The column's density at P0–P2 and P5 with gaps at P3–P4 is appropriate: the architectural framework operates at both ends of the scale axis, with the middle scales' architecture less differentiated from the body of laws operating within them.</w:t>
      </w:r>
    </w:p>
    <w:p>
      <w:pPr>
        <w:pStyle w:val="Heading2"/>
        <w:spacing w:after="160" w:before="240"/>
      </w:pPr>
      <w:r>
        <w:rPr>
          <w:rFonts w:ascii="Arial" w:cs="Arial" w:eastAsia="Arial" w:hAnsi="Arial"/>
          <w:b/>
          <w:bCs/>
          <w:sz w:val="30"/>
          <w:szCs w:val="30"/>
        </w:rPr>
        <w:t xml:space="preserve">Six Priority Open Unknowns</w:t>
      </w:r>
    </w:p>
    <w:p>
      <w:pPr>
        <w:spacing w:after="160" w:line="300"/>
      </w:pPr>
      <w:r>
        <w:rPr>
          <w:rFonts w:ascii="Arial" w:cs="Arial" w:eastAsia="Arial" w:hAnsi="Arial"/>
          <w:b w:val="false"/>
          <w:bCs w:val="false"/>
          <w:i w:val="false"/>
          <w:iCs w:val="false"/>
          <w:sz w:val="22"/>
          <w:szCs w:val="22"/>
        </w:rPr>
        <w:t xml:space="preserve">The previous draft of the table named six Open Unknowns as priority research targets. The v5_6_0_5 third-axis test has produced an articulation of one of them — the inverse-direction (idol-ward face) of the Household Formation Law is now named as FL.XVII Substitution-Cascade. The Household Formation Law itself remains Open. The remaining five Open Unknowns from the previous draft, plus the still-Open Household Formation Law, constitute the current Six Priority Open Unknowns:</w:t>
      </w:r>
    </w:p>
    <w:p>
      <w:pPr>
        <w:spacing w:after="160" w:line="300"/>
      </w:pPr>
      <w:r>
        <w:rPr>
          <w:rFonts w:ascii="Arial" w:cs="Arial" w:eastAsia="Arial" w:hAnsi="Arial"/>
          <w:b/>
          <w:bCs/>
          <w:i w:val="false"/>
          <w:iCs w:val="false"/>
          <w:sz w:val="22"/>
          <w:szCs w:val="22"/>
        </w:rPr>
        <w:t xml:space="preserve">P3/GI · Gathered-Body Discernment Law.</w:t>
      </w:r>
      <w:r>
        <w:rPr>
          <w:rFonts w:ascii="Arial" w:cs="Arial" w:eastAsia="Arial" w:hAnsi="Arial"/>
          <w:b w:val="false"/>
          <w:bCs w:val="false"/>
          <w:i w:val="false"/>
          <w:iCs w:val="false"/>
          <w:sz w:val="22"/>
          <w:szCs w:val="22"/>
        </w:rPr>
        <w:t xml:space="preserve"> How the Spirit speaks distinctively through a gathered body. The Acts 13:2 pattern (the Spirit's address to the Antioch church), the Acts 15 Jerusalem council, the Elijah/Elisha double-portion transmission, and the Pentecost gathered-body anointing all point at a Period-3 / Group-I law the corpus has named the territory of but not yet articulated. The law's articulation requires both its God-ward and idol-ward faces (institutional self-preservation, factional loyalty, gathered-around-the-leader's idolatry).</w:t>
      </w:r>
    </w:p>
    <w:p>
      <w:pPr>
        <w:spacing w:after="160" w:line="300"/>
      </w:pPr>
      <w:r>
        <w:rPr>
          <w:rFonts w:ascii="Arial" w:cs="Arial" w:eastAsia="Arial" w:hAnsi="Arial"/>
          <w:b/>
          <w:bCs/>
          <w:i w:val="false"/>
          <w:iCs w:val="false"/>
          <w:sz w:val="22"/>
          <w:szCs w:val="22"/>
        </w:rPr>
        <w:t xml:space="preserve">P4/GI · Spirit Anointing Transmission Law.</w:t>
      </w:r>
      <w:r>
        <w:rPr>
          <w:rFonts w:ascii="Arial" w:cs="Arial" w:eastAsia="Arial" w:hAnsi="Arial"/>
          <w:b w:val="false"/>
          <w:bCs w:val="false"/>
          <w:i w:val="false"/>
          <w:iCs w:val="false"/>
          <w:sz w:val="22"/>
          <w:szCs w:val="22"/>
        </w:rPr>
        <w:t xml:space="preserve"> How the Spirit's anointing passes across generations. The Moses → Joshua, Elijah → Elisha, and Paul → Timothy patterns are the canonical scriptural witnesses; the inverse-direction (1 Tim. 4:1's "deceiving spirits and teachings of demons" transmitting across generations) requires articulation alongside the positive direction.</w:t>
      </w:r>
    </w:p>
    <w:p>
      <w:pPr>
        <w:spacing w:after="160" w:line="300"/>
      </w:pPr>
      <w:r>
        <w:rPr>
          <w:rFonts w:ascii="Arial" w:cs="Arial" w:eastAsia="Arial" w:hAnsi="Arial"/>
          <w:b/>
          <w:bCs/>
          <w:i w:val="false"/>
          <w:iCs w:val="false"/>
          <w:sz w:val="22"/>
          <w:szCs w:val="22"/>
        </w:rPr>
        <w:t xml:space="preserve">P4/GII · Household Formation Law (God-ward face).</w:t>
      </w:r>
      <w:r>
        <w:rPr>
          <w:rFonts w:ascii="Arial" w:cs="Arial" w:eastAsia="Arial" w:hAnsi="Arial"/>
          <w:b w:val="false"/>
          <w:bCs w:val="false"/>
          <w:i w:val="false"/>
          <w:iCs w:val="false"/>
          <w:sz w:val="22"/>
          <w:szCs w:val="22"/>
        </w:rPr>
        <w:t xml:space="preserve"> Articulation of the Shema's "teach them diligently to your children" structure as the operational law of multigenerational transmission of sincere faith. Paired with FL.XVII Substitution-Cascade at the same cell. The pair's full bidirectional treatment requires the God-ward articulation that this Open Unknown reserves.</w:t>
      </w:r>
    </w:p>
    <w:p>
      <w:pPr>
        <w:spacing w:after="160" w:line="300"/>
      </w:pPr>
      <w:r>
        <w:rPr>
          <w:rFonts w:ascii="Arial" w:cs="Arial" w:eastAsia="Arial" w:hAnsi="Arial"/>
          <w:b/>
          <w:bCs/>
          <w:i w:val="false"/>
          <w:iCs w:val="false"/>
          <w:sz w:val="22"/>
          <w:szCs w:val="22"/>
        </w:rPr>
        <w:t xml:space="preserve">P4/GIV · Doctrinal Calcification Law.</w:t>
      </w:r>
      <w:r>
        <w:rPr>
          <w:rFonts w:ascii="Arial" w:cs="Arial" w:eastAsia="Arial" w:hAnsi="Arial"/>
          <w:b w:val="false"/>
          <w:bCs w:val="false"/>
          <w:i w:val="false"/>
          <w:iCs w:val="false"/>
          <w:sz w:val="22"/>
          <w:szCs w:val="22"/>
        </w:rPr>
        <w:t xml:space="preserve"> How received doctrine progressively calcifies into received error across generations when not held under the discipline of returning-to-scripture and community-testing. Requires both the mechanism's articulation and the orientation distinction between God-ward doctrinal practice (which resists calcification) and idol-ward doctrinal practice (which calcifies more readily).</w:t>
      </w:r>
    </w:p>
    <w:p>
      <w:pPr>
        <w:spacing w:after="160" w:line="300"/>
      </w:pPr>
      <w:r>
        <w:rPr>
          <w:rFonts w:ascii="Arial" w:cs="Arial" w:eastAsia="Arial" w:hAnsi="Arial"/>
          <w:b/>
          <w:bCs/>
          <w:i w:val="false"/>
          <w:iCs w:val="false"/>
          <w:sz w:val="22"/>
          <w:szCs w:val="22"/>
        </w:rPr>
        <w:t xml:space="preserve">P4/GV · Thick Practice Transmission Law.</w:t>
      </w:r>
      <w:r>
        <w:rPr>
          <w:rFonts w:ascii="Arial" w:cs="Arial" w:eastAsia="Arial" w:hAnsi="Arial"/>
          <w:b w:val="false"/>
          <w:bCs w:val="false"/>
          <w:i w:val="false"/>
          <w:iCs w:val="false"/>
          <w:sz w:val="22"/>
          <w:szCs w:val="22"/>
        </w:rPr>
        <w:t xml:space="preserve"> How embodied, repeated practices (the liturgical, the catechetical, the household-rule, the sabbath) transmit formation across generations more durably than propositional content alone.</w:t>
      </w:r>
    </w:p>
    <w:p>
      <w:pPr>
        <w:spacing w:after="160" w:line="300"/>
      </w:pPr>
      <w:r>
        <w:rPr>
          <w:rFonts w:ascii="Arial" w:cs="Arial" w:eastAsia="Arial" w:hAnsi="Arial"/>
          <w:b/>
          <w:bCs/>
          <w:i w:val="false"/>
          <w:iCs w:val="false"/>
          <w:sz w:val="22"/>
          <w:szCs w:val="22"/>
        </w:rPr>
        <w:t xml:space="preserve">P4/GVI · Generational Nested Structure Law.</w:t>
      </w:r>
      <w:r>
        <w:rPr>
          <w:rFonts w:ascii="Arial" w:cs="Arial" w:eastAsia="Arial" w:hAnsi="Arial"/>
          <w:b w:val="false"/>
          <w:bCs w:val="false"/>
          <w:i w:val="false"/>
          <w:iCs w:val="false"/>
          <w:sz w:val="22"/>
          <w:szCs w:val="22"/>
        </w:rPr>
        <w:t xml:space="preserve"> How the V1.Exp2 Nested Person Structure operates at the generational scale — the family's spirit / heart / soul / mind / body / structural-frame as nested across generations rather than only across the individual person.</w:t>
      </w:r>
    </w:p>
    <w:p>
      <w:pPr>
        <w:spacing w:after="160" w:line="300"/>
      </w:pPr>
      <w:r>
        <w:rPr>
          <w:rFonts w:ascii="Arial" w:cs="Arial" w:eastAsia="Arial" w:hAnsi="Arial"/>
          <w:b w:val="false"/>
          <w:bCs w:val="false"/>
          <w:i w:val="false"/>
          <w:iCs w:val="false"/>
          <w:sz w:val="22"/>
          <w:szCs w:val="22"/>
        </w:rPr>
        <w:t xml:space="preserve">Five of the six remaining Open Unknowns are at Period 4 (Generational / Historical). This concentration is the right priority weighting: the Period 4 row remains the most underdeveloped row in the table, the third-axis test's anchor in the second commandment's transmission clause (Exod. 20:5–6) named the generational scale's importance directly, and the practical relevance of well-articulated Period 4 laws for family formation and long-horizon discipleship is high.</w:t>
      </w:r>
    </w:p>
    <w:p>
      <w:pPr>
        <w:pStyle w:val="Heading2"/>
        <w:spacing w:after="160" w:before="240"/>
      </w:pPr>
      <w:r>
        <w:rPr>
          <w:rFonts w:ascii="Arial" w:cs="Arial" w:eastAsia="Arial" w:hAnsi="Arial"/>
          <w:b/>
          <w:bCs/>
          <w:sz w:val="30"/>
          <w:szCs w:val="30"/>
        </w:rPr>
        <w:t xml:space="preserve">Reading the Table Through Classical Doctrine</w:t>
      </w:r>
    </w:p>
    <w:p>
      <w:pPr>
        <w:spacing w:after="160" w:line="300"/>
      </w:pPr>
      <w:r>
        <w:rPr>
          <w:rFonts w:ascii="Arial" w:cs="Arial" w:eastAsia="Arial" w:hAnsi="Arial"/>
          <w:b w:val="false"/>
          <w:bCs w:val="false"/>
          <w:i w:val="false"/>
          <w:iCs w:val="false"/>
          <w:sz w:val="22"/>
          <w:szCs w:val="22"/>
        </w:rPr>
        <w:t xml:space="preserve">A reader trained in classical systematic theology may approach this table with a question: where in the table do the canonical doctrines of the faith — the Trinity, the Incarnation, the work of the Holy Spirit, the doctrine of regeneration, justification by faith, ecclesiology, the sacraments, eschatology — appear? Some appear directly. The Miracle Frame at P5/GI carries the structural claim about the relationship between the natural and supernatural orders. Spirit Anointing Transmission, Gathered-Body Discernment, and the Hear-and-Obey Blessing Law touch pneumatology. The Confession-Restoration Law and Forgiveness-Debt Transfer Law operate downstream of the doctrine of justification. The Periodic Table is not, however, a table of doctrines. It is a table of </w:t>
      </w:r>
      <w:r>
        <w:rPr>
          <w:rFonts w:ascii="Arial" w:cs="Arial" w:eastAsia="Arial" w:hAnsi="Arial"/>
          <w:b w:val="false"/>
          <w:bCs w:val="false"/>
          <w:i/>
          <w:iCs/>
          <w:sz w:val="22"/>
          <w:szCs w:val="22"/>
        </w:rPr>
        <w:t xml:space="preserve">operational laws</w:t>
      </w:r>
      <w:r>
        <w:rPr>
          <w:rFonts w:ascii="Arial" w:cs="Arial" w:eastAsia="Arial" w:hAnsi="Arial"/>
          <w:b w:val="false"/>
          <w:bCs w:val="false"/>
          <w:i w:val="false"/>
          <w:iCs w:val="false"/>
          <w:sz w:val="22"/>
          <w:szCs w:val="22"/>
        </w:rPr>
        <w:t xml:space="preserve"> — claims about how the formation territory behaves under specific conditions, expressed in the form a law-statement takes. The Trinity is not a law in this sense; the Trinity is the doctrine of who God is, the precondition of every law in the table being intelligible. The Incarnation is not a law; the Incarnation is the historical-doctrinal event that makes the laws available to the participant Christ now indwells. The table assumes the doctrines and operates within them.</w:t>
      </w:r>
    </w:p>
    <w:p>
      <w:pPr>
        <w:spacing w:after="160" w:line="300"/>
      </w:pPr>
      <w:r>
        <w:rPr>
          <w:rFonts w:ascii="Arial" w:cs="Arial" w:eastAsia="Arial" w:hAnsi="Arial"/>
          <w:b w:val="false"/>
          <w:bCs w:val="false"/>
          <w:i w:val="false"/>
          <w:iCs w:val="false"/>
          <w:sz w:val="22"/>
          <w:szCs w:val="22"/>
        </w:rPr>
        <w:t xml:space="preserve">What the table does add, that classical doctrinal organization does not, is the </w:t>
      </w:r>
      <w:r>
        <w:rPr>
          <w:rFonts w:ascii="Arial" w:cs="Arial" w:eastAsia="Arial" w:hAnsi="Arial"/>
          <w:b w:val="false"/>
          <w:bCs w:val="false"/>
          <w:i/>
          <w:iCs/>
          <w:sz w:val="22"/>
          <w:szCs w:val="22"/>
        </w:rPr>
        <w:t xml:space="preserve">operational law-form treatment</w:t>
      </w:r>
      <w:r>
        <w:rPr>
          <w:rFonts w:ascii="Arial" w:cs="Arial" w:eastAsia="Arial" w:hAnsi="Arial"/>
          <w:b w:val="false"/>
          <w:bCs w:val="false"/>
          <w:i w:val="false"/>
          <w:iCs w:val="false"/>
          <w:sz w:val="22"/>
          <w:szCs w:val="22"/>
        </w:rPr>
        <w:t xml:space="preserve"> of phenomena the classical doctrines name without operationalizing. Regeneration is doctrinally located but operationally underdescribed; the Pure-Heart Vision Law (FL.XIII) names the operational structure of the regenerated heart's gateway-condition for the seeing of God. The work of the Holy Spirit is doctrinally rich but operationally distributed; the Prayer Resonance, Prophetic Imagination, Hearing Development, and the new Counter-Resonance laws operationalize the Spirit's work in specific registers. The Communion of Saints is ecclesiologically held but operationally underdescribed; the Container Law, Community Amplification, and the Four Connects operationalize the community's role in the formation work the doctrine names. The table's contribution is the operational law-form, not the doctrinal structure.</w:t>
      </w:r>
    </w:p>
    <w:p>
      <w:pPr>
        <w:spacing w:after="160" w:line="300"/>
      </w:pPr>
      <w:r>
        <w:rPr>
          <w:rFonts w:ascii="Arial" w:cs="Arial" w:eastAsia="Arial" w:hAnsi="Arial"/>
          <w:b w:val="false"/>
          <w:bCs w:val="false"/>
          <w:i w:val="false"/>
          <w:iCs w:val="false"/>
          <w:sz w:val="22"/>
          <w:szCs w:val="22"/>
        </w:rPr>
        <w:t xml:space="preserve">Two observations follow. First, classical doctrines that the table does not address directly are not therefore unimportant — they are pre-supposed. A future reader who asks "where is the doctrine of the Trinity in the table?" is asking a category-mismatch question; the right answer is that the doctrine of the Trinity is the precondition for every entry in the table being intelligible, not an entry in the table itself. Second, several entries in the table do operate at the intersection of operational law and classical doctrine, and these intersections are themselves interesting research territory. The Heart-Throne Law (FL.III) intersects with the doctrine of idolatry and with the Reformed treatment of the </w:t>
      </w:r>
      <w:r>
        <w:rPr>
          <w:rFonts w:ascii="Arial" w:cs="Arial" w:eastAsia="Arial" w:hAnsi="Arial"/>
          <w:b w:val="false"/>
          <w:bCs w:val="false"/>
          <w:i/>
          <w:iCs/>
          <w:sz w:val="22"/>
          <w:szCs w:val="22"/>
        </w:rPr>
        <w:t xml:space="preserve">cor incurvatum</w:t>
      </w:r>
      <w:r>
        <w:rPr>
          <w:rFonts w:ascii="Arial" w:cs="Arial" w:eastAsia="Arial" w:hAnsi="Arial"/>
          <w:b w:val="false"/>
          <w:bCs w:val="false"/>
          <w:i w:val="false"/>
          <w:iCs w:val="false"/>
          <w:sz w:val="22"/>
          <w:szCs w:val="22"/>
        </w:rPr>
        <w:t xml:space="preserve">. The Desire-for-God Law (FL.VIII) intersects with the imago Dei doctrine and the contemplative tradition's </w:t>
      </w:r>
      <w:r>
        <w:rPr>
          <w:rFonts w:ascii="Arial" w:cs="Arial" w:eastAsia="Arial" w:hAnsi="Arial"/>
          <w:b w:val="false"/>
          <w:bCs w:val="false"/>
          <w:i/>
          <w:iCs/>
          <w:sz w:val="22"/>
          <w:szCs w:val="22"/>
        </w:rPr>
        <w:t xml:space="preserve">eros</w:t>
      </w:r>
      <w:r>
        <w:rPr>
          <w:rFonts w:ascii="Arial" w:cs="Arial" w:eastAsia="Arial" w:hAnsi="Arial"/>
          <w:b w:val="false"/>
          <w:bCs w:val="false"/>
          <w:i w:val="false"/>
          <w:iCs w:val="false"/>
          <w:sz w:val="22"/>
          <w:szCs w:val="22"/>
        </w:rPr>
        <w:t xml:space="preserve"> for God. The new Vanity-of-Substitutes Law (FL.XIV) intersects with Augustine's </w:t>
      </w:r>
      <w:r>
        <w:rPr>
          <w:rFonts w:ascii="Arial" w:cs="Arial" w:eastAsia="Arial" w:hAnsi="Arial"/>
          <w:b w:val="false"/>
          <w:bCs w:val="false"/>
          <w:i/>
          <w:iCs/>
          <w:sz w:val="22"/>
          <w:szCs w:val="22"/>
        </w:rPr>
        <w:t xml:space="preserve">Confessions</w:t>
      </w:r>
      <w:r>
        <w:rPr>
          <w:rFonts w:ascii="Arial" w:cs="Arial" w:eastAsia="Arial" w:hAnsi="Arial"/>
          <w:b w:val="false"/>
          <w:bCs w:val="false"/>
          <w:i w:val="false"/>
          <w:iCs w:val="false"/>
          <w:sz w:val="22"/>
          <w:szCs w:val="22"/>
        </w:rPr>
        <w:t xml:space="preserve"> and Pascal's </w:t>
      </w:r>
      <w:r>
        <w:rPr>
          <w:rFonts w:ascii="Arial" w:cs="Arial" w:eastAsia="Arial" w:hAnsi="Arial"/>
          <w:b w:val="false"/>
          <w:bCs w:val="false"/>
          <w:i/>
          <w:iCs/>
          <w:sz w:val="22"/>
          <w:szCs w:val="22"/>
        </w:rPr>
        <w:t xml:space="preserve">Pensées</w:t>
      </w:r>
      <w:r>
        <w:rPr>
          <w:rFonts w:ascii="Arial" w:cs="Arial" w:eastAsia="Arial" w:hAnsi="Arial"/>
          <w:b w:val="false"/>
          <w:bCs w:val="false"/>
          <w:i w:val="false"/>
          <w:iCs w:val="false"/>
          <w:sz w:val="22"/>
          <w:szCs w:val="22"/>
        </w:rPr>
        <w:t xml:space="preserve">. The new Hardening Law (FL.XV) intersects with the divine-human-agency interplay the major traditions theologize differently. The new Substitution-Cascade Law (FL.XVII) intersects with the federal-headship, social-character-of-sin, inherited-corruption, and ancestral-sin doctrines. The table does not adjudicate among these doctrinal treatments; it states the operational law that the differing doctrines theologize differently, and lets the operational claim stand at the level the differing traditions hold in common.</w:t>
      </w:r>
    </w:p>
    <w:p>
      <w:pPr>
        <w:spacing w:after="160" w:line="300"/>
      </w:pPr>
      <w:r>
        <w:rPr>
          <w:rFonts w:ascii="Arial" w:cs="Arial" w:eastAsia="Arial" w:hAnsi="Arial"/>
          <w:b w:val="false"/>
          <w:bCs w:val="false"/>
          <w:i w:val="false"/>
          <w:iCs w:val="false"/>
          <w:sz w:val="22"/>
          <w:szCs w:val="22"/>
        </w:rPr>
        <w:t xml:space="preserve">What is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on the table is therefore as important as what is. The table does not contain the doctrine of God; it operates within it. The table does not contain the doctrine of Christ; it operates within it. The table does not contain the work of the Spirit in his metaphysical fullness; it contains operational law-statements about how the Spirit's work shows up in formation. The table does not contain ecclesiology in its full doctrinal form; it contains operational law-statements about how the gathered community shapes formation. The third-axis test added a further "what is not on the table" item: the table does not contain a doctrinal statement of the orientation-of-pursuit dimension; it contains operational law-statements about how orientation operates within the laws the table catches. The Mirror discipline established in v5_6_0_5 makes the orientation dimension consistently visible at the entry level without making it a doctrinal claim in its own right. The reader who treats the table as a substitute for systematic theology will mistake the kind of work the table does; the reader who treats the table as a complement to systematic theology — operational where the systematic is doctrinal — will find the two reinforcing rather than competing.</w:t>
      </w:r>
    </w:p>
    <w:p>
      <w:pPr>
        <w:pStyle w:val="Heading2"/>
        <w:spacing w:after="160" w:before="240"/>
      </w:pPr>
      <w:r>
        <w:rPr>
          <w:rFonts w:ascii="Arial" w:cs="Arial" w:eastAsia="Arial" w:hAnsi="Arial"/>
          <w:b/>
          <w:bCs/>
          <w:sz w:val="30"/>
          <w:szCs w:val="30"/>
        </w:rPr>
        <w:t xml:space="preserve">The Third-Axis Test and Mirror Discipline (new in v5_6_0_5)</w:t>
      </w:r>
    </w:p>
    <w:p>
      <w:pPr>
        <w:spacing w:after="160" w:line="300"/>
      </w:pPr>
      <w:r>
        <w:rPr>
          <w:rFonts w:ascii="Arial" w:cs="Arial" w:eastAsia="Arial" w:hAnsi="Arial"/>
          <w:b w:val="false"/>
          <w:bCs w:val="false"/>
          <w:i w:val="false"/>
          <w:iCs w:val="false"/>
          <w:sz w:val="22"/>
          <w:szCs w:val="22"/>
        </w:rPr>
        <w:t xml:space="preserve">The previous version of this table (v5_6_0_4) closed with the doctrinal-reading section above. The present revision (v5_6_0_5) adds this seventh section to document the third-axis test — the investigation of whether orientation of pursuit (God-ward vs. idol-ward) should be promoted from an entry-level attribute to a structural dimension of the table — and the implementation that followed from the test's findings.</w:t>
      </w:r>
    </w:p>
    <w:p>
      <w:pPr>
        <w:spacing w:after="160" w:line="300"/>
      </w:pPr>
      <w:r>
        <w:rPr>
          <w:rFonts w:ascii="Arial" w:cs="Arial" w:eastAsia="Arial" w:hAnsi="Arial"/>
          <w:b w:val="false"/>
          <w:bCs w:val="false"/>
          <w:i w:val="false"/>
          <w:iCs w:val="false"/>
          <w:sz w:val="22"/>
          <w:szCs w:val="22"/>
        </w:rPr>
        <w:t xml:space="preserve">The test was motivated by an observation about the first table of the Decalogue. Exod. 20:1–11 organizes the foundational commandments along a dimension the table did not previously make structurally visible: which Object the heart is oriented toward in pursuit. "You shall have no other gods before me" (20:3) is the first commandment because it names the dimension along which every subsequent law's operation can be inverted. The two great commandments Jesus identifies (Matt. 22:37–40) preserve the same priority structure: love God with the heart's whole orientation, and love neighbor as oneself within that prior orientation. The orientation-of-pursuit dimension is canonically prior, and the table's structure did not make this priority structurally visible.</w:t>
      </w:r>
    </w:p>
    <w:p>
      <w:pPr>
        <w:spacing w:after="160" w:line="300"/>
      </w:pPr>
      <w:r>
        <w:rPr>
          <w:rFonts w:ascii="Arial" w:cs="Arial" w:eastAsia="Arial" w:hAnsi="Arial"/>
          <w:b w:val="false"/>
          <w:bCs w:val="false"/>
          <w:i w:val="false"/>
          <w:iCs w:val="false"/>
          <w:sz w:val="22"/>
          <w:szCs w:val="22"/>
        </w:rPr>
        <w:t xml:space="preserve">The test examined four candidate forms for the dimension's integration: (A) entry-level attribute on each law (status quo, with the dimension named in individual entries where it appears); (B) systematic Mirror discipline (every entry carries a Mirror field that names the orientation dimension explicitly); (C) paired-row treatment (each Period would have a paired God-ward row and idol-ward row); (D) true third axis (the table becomes three-dimensional, with the orientation dimension as the third axis). Each form was evaluated against four criteria: scriptural support, operational density of inverse-law content, structural cleanness, and pedagogical clarity for the Formation Companion using the table in practice.</w:t>
      </w:r>
    </w:p>
    <w:p>
      <w:pPr>
        <w:spacing w:after="160" w:line="300"/>
      </w:pPr>
      <w:r>
        <w:rPr>
          <w:rFonts w:ascii="Arial" w:cs="Arial" w:eastAsia="Arial" w:hAnsi="Arial"/>
          <w:b w:val="false"/>
          <w:bCs w:val="false"/>
          <w:i w:val="false"/>
          <w:iCs w:val="false"/>
          <w:sz w:val="22"/>
          <w:szCs w:val="22"/>
        </w:rPr>
        <w:t xml:space="preserve">The test concluded that Form B (Systematic Mirror Discipline) is the right structural integration for the dimension at the present density of inverse-law content. Form A is structurally inadequate because the orientation dimension is canonically prior and warrants visible treatment in every entry, not only the ones where the inverse direction has been independently named. Form C and Form D are both prematurely committed structures — they would force every cell of the table to commit to a bidirectional treatment when many of the table's entries are not yet developed enough to support the commitment, and would impose a treatment-pattern that does not match the corpus's actual textual density. Form B is the form that matches the corpus's current state: the orientation dimension is visible on every entry through the Mirror field, but the field's three forms (Mirror statement / Constitutive marker / Orientation-neutral marker) allow the field to carry the orientation reading that fits the specific entry rather than forcing a one-size-fits-all bidirectional commitment.</w:t>
      </w:r>
    </w:p>
    <w:p>
      <w:pPr>
        <w:spacing w:after="160" w:line="300"/>
      </w:pPr>
      <w:r>
        <w:rPr>
          <w:rFonts w:ascii="Arial" w:cs="Arial" w:eastAsia="Arial" w:hAnsi="Arial"/>
          <w:b w:val="false"/>
          <w:bCs w:val="false"/>
          <w:i w:val="false"/>
          <w:iCs w:val="false"/>
          <w:sz w:val="22"/>
          <w:szCs w:val="22"/>
        </w:rPr>
        <w:t xml:space="preserve">The test also identified candidate laws whose articulation had been blocked by the absence of the orientation-of-pursuit dimension's explicit treatment. Four cleared the inclusion bar for Foundational-tier addition: the Vanity-of-Substitutes Law at P1/GII (paired with FL.VIII Desire-for-God), the Hardening Law at P0/GI (peer to V1.Exp6 Obedience Channel with wider scope), the Bondage Law at P0/GV (paired with FL.VI Hear-and-Obey Blessing), and the Substitution-Cascade Law at P4/GII (paired with the still-Open Household Formation Law). One additional candidate cleared the inclusion bar for Speculative-tier addition: the Counter-Resonance Law at P2/GI (paired with V1.Exp8 Prayer Resonance). These five new entries are integrated into the table above and into the reference list.</w:t>
      </w:r>
    </w:p>
    <w:p>
      <w:pPr>
        <w:spacing w:after="160" w:line="300"/>
      </w:pPr>
      <w:r>
        <w:rPr>
          <w:rFonts w:ascii="Arial" w:cs="Arial" w:eastAsia="Arial" w:hAnsi="Arial"/>
          <w:b w:val="false"/>
          <w:bCs w:val="false"/>
          <w:i w:val="false"/>
          <w:iCs w:val="false"/>
          <w:sz w:val="22"/>
          <w:szCs w:val="22"/>
        </w:rPr>
        <w:t xml:space="preserve">The test produced three further outcomes worth noting. First, the directionality tag (V/H/B/I) is now reserved for relational vector only; the previous draft's (B) tag had been ambiguous between three kinds of symmetry (relational-vector, posture, and orientation-of-pursuit), and the revision separates them — orientation lives in the Mirror field, relational vector lives in the tag. Second, the fifth-periodicity question the FL.VIII Desire-for-God entry had reserved for future revision is now more sharply posed: the paired-law pattern (designed-for-X engine + structural-failure-of-every-non-X engine) may itself constitute the fifth periodicity rather than any single law, and the question's reservation is tightened by the test's findings without being resolved. Third, the test's anchor in the first table of the Decalogue (Exod. 20:1–11) names the scriptural ground for treating orientation-of-pursuit as a canonically prior dimension; future revisions may identify additional law-forms in the second-table register (Exod. 20:12–17) whose orientation-of-pursuit treatment requires further articulation.</w:t>
      </w:r>
    </w:p>
    <w:p>
      <w:pPr>
        <w:spacing w:after="160" w:line="300"/>
      </w:pPr>
      <w:r>
        <w:rPr>
          <w:rFonts w:ascii="Arial" w:cs="Arial" w:eastAsia="Arial" w:hAnsi="Arial"/>
          <w:b w:val="false"/>
          <w:bCs w:val="false"/>
          <w:i w:val="false"/>
          <w:iCs w:val="false"/>
          <w:sz w:val="22"/>
          <w:szCs w:val="22"/>
        </w:rPr>
        <w:t xml:space="preserve">The Mirror discipline established in v5_6_0_5 is intended to be permanent. Future revisions of the table that add new entries should add the Mirror field to the entry at the time of addition, in whichever of the three forms (Mirror statement / Constitutive marker / Orientation-neutral marker) fits the entry's content. The field's purpose is to make the orientation dimension consistently visible at the entry level, per the test's recommendation, without committing the table to structural complexity that does not match the corpus's current state. The third axis, in this sense, is now present in the table — not as a structural axis, but as a structural discipline that operates on every entry the table holds.</w:t>
      </w:r>
    </w:p>
    <w:p>
      <w:r>
        <w:br w:type="page"/>
      </w:r>
    </w:p>
    <w:p>
      <w:pPr>
        <w:spacing w:after="720" w:before="1440"/>
        <w:jc w:val="center"/>
      </w:pPr>
      <w:r>
        <w:rPr>
          <w:rFonts w:ascii="Arial" w:cs="Arial" w:eastAsia="Arial" w:hAnsi="Arial"/>
          <w:b/>
          <w:bCs/>
          <w:sz w:val="40"/>
          <w:szCs w:val="40"/>
        </w:rPr>
        <w:t xml:space="preserve">Section 5 — Markdown File Index</w:t>
      </w:r>
    </w:p>
    <w:p>
      <w:pPr>
        <w:pBdr>
          <w:bottom w:val="single" w:color="333333" w:sz="12" w:space="1"/>
        </w:pBdr>
        <w:spacing w:after="48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Files delivered</w:t>
      </w:r>
    </w:p>
    <w:p>
      <w:pPr>
        <w:spacing w:after="160" w:line="300"/>
      </w:pPr>
      <w:r>
        <w:rPr>
          <w:rFonts w:ascii="Arial" w:cs="Arial" w:eastAsia="Arial" w:hAnsi="Arial"/>
          <w:b w:val="false"/>
          <w:bCs w:val="false"/>
          <w:i w:val="false"/>
          <w:iCs w:val="false"/>
          <w:sz w:val="22"/>
          <w:szCs w:val="22"/>
        </w:rPr>
        <w:t xml:space="preserve">The publication-ready bundle contains seven markdown files. Each is provided as a standalone unit and ready for direct paste into the IJH mkdocs source tree. Paths below are suggested mkdocs locations; the actual site layout may differ slightly.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4"/>
              <w:left w:val="single" w:color="999999" w:sz="4"/>
              <w:bottom w:val="single" w:color="999999" w:sz="4"/>
              <w:right w:val="single" w:color="999999" w:sz="4"/>
            </w:tcBorders>
            <w:shd w:fill="E0E0E0" w:color="auto" w:val="clear"/>
            <w:tcMar>
              <w:top w:type="dxa" w:w="80"/>
              <w:left w:type="dxa" w:w="100"/>
              <w:bottom w:type="dxa" w:w="80"/>
              <w:right w:type="dxa" w:w="100"/>
            </w:tcMar>
          </w:tcPr>
          <w:p>
            <w:pPr>
              <w:spacing w:after="0"/>
            </w:pPr>
            <w:r>
              <w:rPr>
                <w:rFonts w:ascii="Arial" w:cs="Arial" w:eastAsia="Arial" w:hAnsi="Arial"/>
                <w:b/>
                <w:bCs/>
                <w:sz w:val="18"/>
                <w:szCs w:val="18"/>
              </w:rPr>
              <w:t xml:space="preserve"/>
            </w:r>
          </w:p>
        </w:tc>
        <w:tc>
          <w:tcPr>
            <w:tcW w:type="dxa" w:w="3120"/>
            <w:tcBorders>
              <w:top w:val="single" w:color="999999" w:sz="4"/>
              <w:left w:val="single" w:color="999999" w:sz="4"/>
              <w:bottom w:val="single" w:color="999999" w:sz="4"/>
              <w:right w:val="single" w:color="999999" w:sz="4"/>
            </w:tcBorders>
            <w:shd w:fill="E0E0E0" w:color="auto" w:val="clear"/>
            <w:tcMar>
              <w:top w:type="dxa" w:w="80"/>
              <w:left w:type="dxa" w:w="100"/>
              <w:bottom w:type="dxa" w:w="80"/>
              <w:right w:type="dxa" w:w="100"/>
            </w:tcMar>
          </w:tcPr>
          <w:p>
            <w:pPr>
              <w:spacing w:after="0"/>
            </w:pPr>
            <w:r>
              <w:rPr>
                <w:rFonts w:ascii="Arial" w:cs="Arial" w:eastAsia="Arial" w:hAnsi="Arial"/>
                <w:b/>
                <w:bCs/>
                <w:sz w:val="18"/>
                <w:szCs w:val="18"/>
              </w:rPr>
              <w:t xml:space="preserve"/>
            </w:r>
          </w:p>
        </w:tc>
        <w:tc>
          <w:tcPr>
            <w:tcW w:type="dxa" w:w="3120"/>
            <w:tcBorders>
              <w:top w:val="single" w:color="999999" w:sz="4"/>
              <w:left w:val="single" w:color="999999" w:sz="4"/>
              <w:bottom w:val="single" w:color="999999" w:sz="4"/>
              <w:right w:val="single" w:color="999999" w:sz="4"/>
            </w:tcBorders>
            <w:shd w:fill="E0E0E0" w:color="auto" w:val="clear"/>
            <w:tcMar>
              <w:top w:type="dxa" w:w="80"/>
              <w:left w:type="dxa" w:w="100"/>
              <w:bottom w:type="dxa" w:w="80"/>
              <w:right w:type="dxa" w:w="100"/>
            </w:tcMar>
          </w:tcPr>
          <w:p>
            <w:pPr>
              <w:spacing w:after="0"/>
            </w:pPr>
            <w:r>
              <w:rPr>
                <w:rFonts w:ascii="Arial" w:cs="Arial" w:eastAsia="Arial" w:hAnsi="Arial"/>
                <w:b/>
                <w:bCs/>
                <w:sz w:val="18"/>
                <w:szCs w:val="18"/>
              </w:rPr>
              <w:t xml:space="preserve"/>
            </w:r>
          </w:p>
        </w:tc>
      </w:tr>
      <w:tr>
        <w:tc>
          <w:tcPr>
            <w:tcW w:type="dxa" w:w="3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3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3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r>
        <w:tc>
          <w:tcPr>
            <w:tcW w:type="dxa" w:w="3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3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3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r>
        <w:tc>
          <w:tcPr>
            <w:tcW w:type="dxa" w:w="3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3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3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r>
        <w:tc>
          <w:tcPr>
            <w:tcW w:type="dxa" w:w="3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3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3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r>
        <w:tc>
          <w:tcPr>
            <w:tcW w:type="dxa" w:w="3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3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3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r>
        <w:tc>
          <w:tcPr>
            <w:tcW w:type="dxa" w:w="3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3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3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r>
        <w:tc>
          <w:tcPr>
            <w:tcW w:type="dxa" w:w="3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3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c>
          <w:tcPr>
            <w:tcW w:type="dxa" w:w="3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Arial" w:cs="Arial" w:eastAsia="Arial" w:hAnsi="Arial"/>
                <w:b w:val="false"/>
                <w:bCs w:val="false"/>
                <w:sz w:val="18"/>
                <w:szCs w:val="18"/>
              </w:rPr>
              <w:t xml:space="preserve"/>
            </w:r>
          </w:p>
        </w:tc>
      </w:tr>
    </w:tbl>
    <w:p>
      <w:pPr>
        <w:spacing w:after="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Recommended order of integration</w:t>
      </w:r>
    </w:p>
    <w:p>
      <w:pPr>
        <w:spacing w:after="160" w:line="300"/>
      </w:pPr>
      <w:r>
        <w:rPr>
          <w:rFonts w:ascii="Arial" w:cs="Arial" w:eastAsia="Arial" w:hAnsi="Arial"/>
          <w:b w:val="false"/>
          <w:bCs w:val="false"/>
          <w:i w:val="false"/>
          <w:iCs w:val="false"/>
          <w:sz w:val="22"/>
          <w:szCs w:val="22"/>
        </w:rPr>
        <w:t xml:space="preserve">The recommended order for committing the changes to the mkdocs site is as follows. First, commit the four new Foundational Law chapter files; the new chapter files are self-contained and do not depend on changes to any other file. Second, commit the renamed foundational-laws overview replacement; the renaming affects the mkdocs navigation and should be done with attention to redirect configuration. Third, apply the three cross-reference additions to FL.III, FL.VI, FL.VIII per the anchor instructions in cross-references-to-existing-FL-chapters.md. Fourth, commit the Vol 5 Periodic Table chapter replacement; the chapter references all the new content already present from the prior commits, so this step closes the loop.</w:t>
      </w:r>
    </w:p>
    <w:p>
      <w:pPr>
        <w:spacing w:after="160" w:line="300"/>
      </w:pPr>
      <w:r>
        <w:rPr>
          <w:rFonts w:ascii="Arial" w:cs="Arial" w:eastAsia="Arial" w:hAnsi="Arial"/>
          <w:b w:val="false"/>
          <w:bCs w:val="false"/>
          <w:i w:val="false"/>
          <w:iCs w:val="false"/>
          <w:sz w:val="22"/>
          <w:szCs w:val="22"/>
        </w:rPr>
        <w:t xml:space="preserve">After all changes are committed, the mkdocs navigation (mkdocs.yml) should be updated to add the four new chapter pages in the correct order (FL.XIV through FL.XVII, after FL.XIII Pure-Heart Vision) and to update the "Thirteen" overview link to point to the "Seventeen" replacement.</w:t>
      </w:r>
    </w:p>
    <w:p>
      <w:pPr>
        <w:pStyle w:val="Heading2"/>
        <w:spacing w:after="160" w:before="240"/>
      </w:pPr>
      <w:r>
        <w:rPr>
          <w:rFonts w:ascii="Arial" w:cs="Arial" w:eastAsia="Arial" w:hAnsi="Arial"/>
          <w:b/>
          <w:bCs/>
          <w:sz w:val="30"/>
          <w:szCs w:val="30"/>
        </w:rPr>
        <w:t xml:space="preserve">Open follow-up items</w:t>
      </w:r>
    </w:p>
    <w:p>
      <w:pPr>
        <w:spacing w:after="160" w:line="300"/>
      </w:pPr>
      <w:r>
        <w:rPr>
          <w:rFonts w:ascii="Arial" w:cs="Arial" w:eastAsia="Arial" w:hAnsi="Arial"/>
          <w:b w:val="false"/>
          <w:bCs w:val="false"/>
          <w:i w:val="false"/>
          <w:iCs w:val="false"/>
          <w:sz w:val="22"/>
          <w:szCs w:val="22"/>
        </w:rPr>
        <w:t xml:space="preserve">Three items remain on the implementation backlog after this commit, in order of priority. First, the still-Open Household Formation Law at P4/GII (paired with FL.XVII Substitution-Cascade) — the God-ward face of the Heart-Generational cell — should be articulated as a future Vol 1 Open Trail or Foundational Law to complete the bidirectional treatment of the cell. Second, the five remaining Period 4 Open Unknowns (Spirit Anointing Transmission Law, Doctrinal Calcification Law, Thick Practice Transmission Law, Generational Nested Structure Law, and Generational Transmission Speculative) should be addressed in a future revision focused on the generational scale, per the Six Priority Open Unknowns prioritization. Third, the fifth-periodicity question (designed-orientation as a possible fifth axis of analysis) is now more sharply posed but not resolved; future revisions may consider whether the paired-law pattern itself constitutes the fifth periodicity, or whether the question can be retired by absorbing the orientation-pattern entirely into the Mirror discipline.</w:t>
      </w:r>
    </w:p>
    <w:p>
      <w:pPr>
        <w:pStyle w:val="Heading2"/>
        <w:spacing w:after="160" w:before="240"/>
      </w:pPr>
      <w:r>
        <w:rPr>
          <w:rFonts w:ascii="Arial" w:cs="Arial" w:eastAsia="Arial" w:hAnsi="Arial"/>
          <w:b/>
          <w:bCs/>
          <w:sz w:val="30"/>
          <w:szCs w:val="30"/>
        </w:rPr>
        <w:t xml:space="preserve">End of implementation document</w:t>
      </w:r>
    </w:p>
    <w:p>
      <w:pPr>
        <w:spacing w:after="160" w:line="300"/>
      </w:pPr>
      <w:r>
        <w:rPr>
          <w:rFonts w:ascii="Arial" w:cs="Arial" w:eastAsia="Arial" w:hAnsi="Arial"/>
          <w:b w:val="false"/>
          <w:bCs w:val="false"/>
          <w:i w:val="false"/>
          <w:iCs w:val="false"/>
          <w:sz w:val="22"/>
          <w:szCs w:val="22"/>
        </w:rPr>
        <w:t xml:space="preserve">The publication-ready markdown bundle accompanies this review document and is ready for direct site update. For questions or revisions during the integration process, return to this document or to the source v1 third-axis test deliverable for the analytical reasoning behind specific implementation decisions.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30"/>
      <w:szCs w:val="30"/>
    </w:rPr>
  </w:style>
  <w:style w:type="paragraph" w:styleId="Heading3">
    <w:name w:val="Heading 3"/>
    <w:basedOn w:val="Normal"/>
    <w:next w:val="Normal"/>
    <w:qFormat/>
    <w:pPr>
      <w:spacing w:after="120" w:before="240"/>
      <w:outlineLvl w:val="2"/>
    </w:pPr>
    <w:rPr>
      <w:rFonts w:ascii="Arial" w:cs="Arial" w:eastAsia="Arial" w:hAnsi="Arial"/>
      <w:b/>
      <w:bCs/>
      <w:sz w:val="26"/>
      <w:szCs w:val="26"/>
    </w:rPr>
  </w:style>
  <w:style w:type="paragraph" w:styleId="Heading4">
    <w:name w:val="Heading 4"/>
    <w:basedOn w:val="Normal"/>
    <w:next w:val="Normal"/>
    <w:qFormat/>
    <w:pPr>
      <w:spacing w:after="120" w:before="200"/>
      <w:outlineLvl w:val="3"/>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2026-05-20T17:33:22.272Z</dcterms:created>
  <dcterms:modified xsi:type="dcterms:W3CDTF">2026-05-20T17:33:22.286Z</dcterms:modified>
</cp:coreProperties>
</file>

<file path=docProps/custom.xml><?xml version="1.0" encoding="utf-8"?>
<Properties xmlns="http://schemas.openxmlformats.org/officeDocument/2006/custom-properties" xmlns:vt="http://schemas.openxmlformats.org/officeDocument/2006/docPropsVTypes"/>
</file>