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Stage A — Source-Fidelity Review · Synthesis and Punch-List</w:t>
      </w:r>
    </w:p>
    <w:p>
      <w:pPr>
        <w:spacing w:after="140"/>
      </w:pPr>
      <w:r>
        <w:rPr>
          <w:b/>
          <w:bCs/>
        </w:rPr>
        <w:t xml:space="preserve">Target:</w:t>
      </w:r>
      <w:r>
        <w:t xml:space="preserve"> "Twenty-Two Wednesdays as a Fellowship of the Heart," JSFSC protocol paper, draft v2.3 (17 pp / 7,299 words / 15 footnotes) </w:t>
      </w:r>
      <w:r>
        <w:rPr>
          <w:b/>
          <w:bCs/>
        </w:rPr>
        <w:t xml:space="preserve">Run:</w:t>
      </w:r>
      <w:r>
        <w:t xml:space="preserve"> 2026-08-18 · </w:t>
      </w:r>
      <w:r>
        <w:rPr>
          <w:b/>
          <w:bCs/>
        </w:rPr>
        <w:t xml:space="preserve">Method:</w:t>
      </w:r>
      <w:r>
        <w:t xml:space="preserve"> IJH Peer-Review Panel Registry standing protocol </w:t>
      </w:r>
      <w:r>
        <w:rPr>
          <w:b/>
          <w:bCs/>
        </w:rPr>
        <w:t xml:space="preserve">Panel:</w:t>
      </w:r>
      <w:r>
        <w:t xml:space="preserve"> six author-personas seated on their own cited work, plus a verified citation sweep </w:t>
      </w:r>
      <w:r>
        <w:rPr>
          <w:b/>
          <w:bCs/>
        </w:rPr>
        <w:t xml:space="preserve">Verification:</w:t>
      </w:r>
      <w:r>
        <w:t xml:space="preserve"> two adversarial refuters; every HIGH and MEDIUM finding given a verdict before weighting</w:t>
      </w:r>
    </w:p>
    <w:p>
      <w:pPr>
        <w:pBdr>
          <w:left w:val="single" w:color="B0B7C0" w:sz="12" w:space="8"/>
        </w:pBdr>
        <w:spacing w:after="80"/>
        <w:ind w:left="480"/>
      </w:pPr>
      <w:r>
        <w:rPr>
          <w:b/>
          <w:bCs/>
        </w:rPr>
        <w:t xml:space="preserve">Status of this document.</w:t>
      </w:r>
      <w:r>
        <w:t xml:space="preserve"> These are findings, not instructions. No manuscript edit has been</w:t>
      </w:r>
    </w:p>
    <w:p>
      <w:pPr>
        <w:pBdr>
          <w:left w:val="single" w:color="B0B7C0" w:sz="12" w:space="8"/>
        </w:pBdr>
        <w:spacing w:after="80"/>
        <w:ind w:left="480"/>
      </w:pPr>
      <w:r>
        <w:t xml:space="preserve">made. Every item below is the author's to accept, modify, or decline.</w:t>
      </w:r>
    </w:p>
    <w:p>
      <w:pPr>
        <w:pBdr>
          <w:bottom w:val="single" w:color="999999" w:sz="6" w:space="4"/>
        </w:pBdr>
        <w:spacing w:after="100" w:before="100"/>
      </w:pPr>
      <w:r>
        <w:t xml:space="preserve"/>
      </w:r>
    </w:p>
    <w:p>
      <w:pPr>
        <w:pStyle w:val="Heading2"/>
      </w:pPr>
      <w:r>
        <w:t xml:space="preserve">1. The headline</w:t>
      </w:r>
    </w:p>
    <w:p>
      <w:pPr>
        <w:spacing w:after="140"/>
      </w:pPr>
      <w:r>
        <w:t xml:space="preserve">Six reviewers and a citation sweep were asked one question: </w:t>
      </w:r>
      <w:r>
        <w:rPr>
          <w:i/>
          <w:iCs/>
        </w:rPr>
        <w:t xml:space="preserve">is your work represented correctly?</w:t>
      </w:r>
      <w:r>
        <w:t xml:space="preserve"> They filed 60+ findings. After adversarial verification, one finding was refuted outright, several were downgraded, two were upgraded, and the following picture emerged.</w:t>
      </w:r>
    </w:p>
    <w:p>
      <w:pPr>
        <w:spacing w:after="140"/>
      </w:pPr>
      <w:r>
        <w:rPr>
          <w:b/>
          <w:bCs/>
        </w:rPr>
        <w:t xml:space="preserve">The paper's scholarship is sound in the places that matter most and loose in a small number of places that are cheap to fix.</w:t>
      </w:r>
      <w:r>
        <w:t xml:space="preserve"> All nine Scripture references check out. Every bibliographic entry but two is correct. No source was fabricated, and no persona invented literature to support its own objection. The reviewers repeatedly credited the paper for candour they did not expect: the two abandoned field designs reported as failures, the limits paragraph, the pre-committed language of "this ran, not this works," and the author's own line that </w:t>
      </w:r>
      <w:r>
        <w:rPr>
          <w:i/>
          <w:iCs/>
        </w:rPr>
        <w:t xml:space="preserve">a protocol that cannot fail is a testimony, not a design.</w:t>
      </w:r>
    </w:p>
    <w:p>
      <w:pPr>
        <w:spacing w:after="140"/>
      </w:pPr>
      <w:r>
        <w:rPr>
          <w:b/>
          <w:bCs/>
        </w:rPr>
        <w:t xml:space="preserve">The one structural finding.</w:t>
      </w:r>
      <w:r>
        <w:t xml:space="preserve"> Four reviewers, reasoning from four unrelated premises (psychometrics, coding reliability, researcher degrees of freedom, and theory-in-use), observed the same fact: </w:t>
      </w:r>
      <w:r>
        <w:rPr>
          <w:b/>
          <w:bCs/>
        </w:rPr>
        <w:t xml:space="preserve">no channel in the design is independent of the designer.</w:t>
      </w:r>
      <w:r>
        <w:t xml:space="preserve"> The refuter's ruling is precise and should govern how this is weighted — </w:t>
      </w:r>
      <w:r>
        <w:rPr>
          <w:i/>
          <w:iCs/>
        </w:rPr>
        <w:t xml:space="preserve">this is one undisputed structural fact observed four times, not four confirmations.</w:t>
      </w:r>
      <w:r>
        <w:t xml:space="preserve"> It is one finding with four consequences and one shared remedy.</w:t>
      </w:r>
    </w:p>
    <w:p>
      <w:pPr>
        <w:spacing w:after="140"/>
      </w:pPr>
      <w:r>
        <w:rPr>
          <w:b/>
          <w:bCs/>
        </w:rPr>
        <w:t xml:space="preserve">The one convergent recommendation.</w:t>
      </w:r>
      <w:r>
        <w:t xml:space="preserve"> Unprompted, and from different literatures, four reviewers independently named the same restructure:</w:t>
      </w:r>
    </w:p>
    <w:p>
      <w:pPr>
        <w:pBdr>
          <w:left w:val="single" w:color="B0B7C0" w:sz="12" w:space="8"/>
        </w:pBdr>
        <w:spacing w:after="80"/>
        <w:ind w:left="480"/>
      </w:pPr>
      <w:r>
        <w:rPr>
          <w:b/>
          <w:bCs/>
        </w:rPr>
        <w:t xml:space="preserve">Let the behavioural traces carry the argument. Let the judgment-based instruments carry the formation.</w:t>
      </w:r>
    </w:p>
    <w:p>
      <w:pPr>
        <w:spacing w:after="140"/>
      </w:pPr>
      <w:r>
        <w:t xml:space="preserve">Break-survival — what survives the breaks when nobody is watching — was named by Vazire, Krathwohl, and Lewicki independently as the paper's best instrument, and it is currently presented as one supporting trace among several while the room's spoken self-read is called the best instrument in the pilot. Reversing those two emphases is the single highest-value change available, and it costs nothing to run because both instruments already exist.</w:t>
      </w:r>
    </w:p>
    <w:p>
      <w:pPr>
        <w:pBdr>
          <w:bottom w:val="single" w:color="999999" w:sz="6" w:space="4"/>
        </w:pBdr>
        <w:spacing w:after="100" w:before="100"/>
      </w:pPr>
      <w:r>
        <w:t xml:space="preserve"/>
      </w:r>
    </w:p>
    <w:p>
      <w:pPr>
        <w:pStyle w:val="Heading2"/>
      </w:pPr>
      <w:r>
        <w:t xml:space="preserve">2. What the verification changed</w:t>
      </w:r>
    </w:p>
    <w:p>
      <w:pPr>
        <w:spacing w:after="140"/>
      </w:pPr>
      <w:r>
        <w:t xml:space="preserve">Adversarial verification is the reason this list is shorter than the reviewers'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5"/>
        <w:gridCol w:w="698"/>
        <w:gridCol w:w="6467"/>
      </w:tblGrid>
      <w:tr>
        <w:trPr>
          <w:tblHeader/>
        </w:trPr>
        <w:tc>
          <w:tcPr>
            <w:tcW w:type="dxa" w:w="219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Finding as filed</w:t>
            </w:r>
          </w:p>
        </w:tc>
        <w:tc>
          <w:tcPr>
            <w:tcW w:type="dxa" w:w="69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Verdict</w:t>
            </w:r>
          </w:p>
        </w:tc>
        <w:tc>
          <w:tcPr>
            <w:tcW w:type="dxa" w:w="646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Why</w:t>
            </w:r>
          </w:p>
        </w:tc>
      </w:tr>
      <w:tr>
        <w:tc>
          <w:tcPr>
            <w:tcW w:type="dxa" w:w="21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"SOKA runs the wrong way" (Vazire, HIGH)</w:t>
            </w:r>
          </w:p>
        </w:tc>
        <w:tc>
          <w:tcPr>
            <w:tcW w:type="dxa" w:w="6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largely refuted</w:t>
            </w:r>
          </w:p>
        </w:tc>
        <w:tc>
          <w:tcPr>
            <w:tcW w:type="dxa" w:w="64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vital signs are act-occurrence records (seen / not yet / no occasion), not trait ratings. The problem quadrant calls for a behavioural criterion; the design already has one.</w:t>
            </w:r>
          </w:p>
        </w:tc>
      </w:tr>
      <w:tr>
        <w:tc>
          <w:tcPr>
            <w:tcW w:type="dxa" w:w="21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"Not a preregistration" (Nosek, HIGH)</w:t>
            </w:r>
          </w:p>
        </w:tc>
        <w:tc>
          <w:tcPr>
            <w:tcW w:type="dxa" w:w="6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headline refuted</w:t>
            </w:r>
          </w:p>
        </w:tc>
        <w:tc>
          <w:tcPr>
            <w:tcW w:type="dxa" w:w="64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paper never applies the word to itself. Residue is a wrong definition and an undisclosed start date.</w:t>
            </w:r>
          </w:p>
        </w:tc>
      </w:tr>
      <w:tr>
        <w:tc>
          <w:tcPr>
            <w:tcW w:type="dxa" w:w="21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 mechanism to detect theory-in-use divergence" (Schön, HIGH)</w:t>
            </w:r>
          </w:p>
        </w:tc>
        <w:tc>
          <w:tcPr>
            <w:tcW w:type="dxa" w:w="6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weakened</w:t>
            </w:r>
          </w:p>
        </w:tc>
        <w:tc>
          <w:tcPr>
            <w:tcW w:type="dxa" w:w="64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Four channels exist, and the reviewer never engaged the strongest: the self-read was redesigned twice </w:t>
            </w:r>
            <w:r>
              <w:rPr>
                <w:i/>
                <w:iCs/>
              </w:rPr>
              <w:t xml:space="preserve">specifically</w:t>
            </w:r>
            <w:r>
              <w:t xml:space="preserve"> to stop supplying the designer's categories. Defensible claim is narrower — no channel is </w:t>
            </w:r>
            <w:r>
              <w:rPr>
                <w:i/>
                <w:iCs/>
              </w:rPr>
              <w:t xml:space="preserve">independent</w:t>
            </w:r>
            <w:r>
              <w:t xml:space="preserve">.</w:t>
            </w:r>
          </w:p>
        </w:tc>
      </w:tr>
      <w:tr>
        <w:tc>
          <w:tcPr>
            <w:tcW w:type="dxa" w:w="21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"Altman's 1981 revision contradicts the disconfirmation conditions" (sweep)</w:t>
            </w:r>
          </w:p>
        </w:tc>
        <w:tc>
          <w:tcPr>
            <w:tcW w:type="dxa" w:w="6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application refuted</w:t>
            </w:r>
          </w:p>
        </w:tc>
        <w:tc>
          <w:tcPr>
            <w:tcW w:type="dxa" w:w="64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revision is real, but the conditions are a floor and a conjunction, not a monotonic trajectory.</w:t>
            </w:r>
          </w:p>
        </w:tc>
      </w:tr>
      <w:tr>
        <w:tc>
          <w:tcPr>
            <w:tcW w:type="dxa" w:w="21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"[13] defines trust as disclosure depth" (Lewicki)</w:t>
            </w:r>
          </w:p>
        </w:tc>
        <w:tc>
          <w:tcPr>
            <w:tcW w:type="dxa" w:w="6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refuted</w:t>
            </w:r>
          </w:p>
        </w:tc>
        <w:tc>
          <w:tcPr>
            <w:tcW w:type="dxa" w:w="64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Misreading.</w:t>
            </w:r>
          </w:p>
        </w:tc>
      </w:tr>
      <w:tr>
        <w:tc>
          <w:tcPr>
            <w:tcW w:type="dxa" w:w="21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extension-declaring pattern" (three reviewers)</w:t>
            </w:r>
          </w:p>
        </w:tc>
        <w:tc>
          <w:tcPr>
            <w:tcW w:type="dxa" w:w="6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not independent</w:t>
            </w:r>
          </w:p>
        </w:tc>
        <w:tc>
          <w:tcPr>
            <w:tcW w:type="dxa" w:w="64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reviewer brief solicited an extension audit from each persona. Individual instances stand; the </w:t>
            </w:r>
            <w:r>
              <w:rPr>
                <w:i/>
                <w:iCs/>
              </w:rPr>
              <w:t xml:space="preserve">pattern</w:t>
            </w:r>
            <w:r>
              <w:t xml:space="preserve"> is an artifact of the question.</w:t>
            </w:r>
          </w:p>
        </w:tc>
      </w:tr>
      <w:tr>
        <w:tc>
          <w:tcPr>
            <w:tcW w:type="dxa" w:w="21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 IRR or blinding" (Vazire, MEDIUM)</w:t>
            </w:r>
          </w:p>
        </w:tc>
        <w:tc>
          <w:tcPr>
            <w:tcW w:type="dxa" w:w="6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upgraded to HIGH</w:t>
            </w:r>
          </w:p>
        </w:tc>
        <w:tc>
          <w:tcPr>
            <w:tcW w:type="dxa" w:w="64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Unblinded, invested raters on the instrument carrying the argument, with a ratchet-only promotion rule.</w:t>
            </w:r>
          </w:p>
        </w:tc>
      </w:tr>
      <w:tr>
        <w:tc>
          <w:tcPr>
            <w:tcW w:type="dxa" w:w="21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"Aloud, leader-first collection" (Lewicki, MEDIUM)</w:t>
            </w:r>
          </w:p>
        </w:tc>
        <w:tc>
          <w:tcPr>
            <w:tcW w:type="dxa" w:w="69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upgraded to HIGH</w:t>
            </w:r>
          </w:p>
        </w:tc>
        <w:tc>
          <w:tcPr>
            <w:tcW w:type="dxa" w:w="646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Directly undercuts the paper's own "unprompted salience" validity claim.</w:t>
            </w:r>
          </w:p>
        </w:tc>
      </w:tr>
    </w:tbl>
    <w:p>
      <w:pPr>
        <w:spacing w:after="80"/>
      </w:pPr>
      <w:r>
        <w:t xml:space="preserve"/>
      </w:r>
    </w:p>
    <w:p>
      <w:pPr>
        <w:pBdr>
          <w:bottom w:val="single" w:color="999999" w:sz="6" w:space="4"/>
        </w:pBdr>
        <w:spacing w:after="100" w:before="100"/>
      </w:pPr>
      <w:r>
        <w:t xml:space="preserve"/>
      </w:r>
    </w:p>
    <w:p>
      <w:pPr>
        <w:pStyle w:val="Heading2"/>
      </w:pPr>
      <w:r>
        <w:t xml:space="preserve">3. Punch-list</w:t>
      </w:r>
    </w:p>
    <w:p>
      <w:pPr>
        <w:pStyle w:val="Heading3"/>
      </w:pPr>
      <w:r>
        <w:t xml:space="preserve">Tier 1 — factual corrections (small, certain, do regardless of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2"/>
        <w:gridCol w:w="7554"/>
        <w:gridCol w:w="602"/>
        <w:gridCol w:w="602"/>
      </w:tblGrid>
      <w:tr>
        <w:trPr>
          <w:tblHeader/>
        </w:trPr>
        <w:tc>
          <w:tcPr>
            <w:tcW w:type="dxa" w:w="60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t>
            </w:r>
          </w:p>
        </w:tc>
        <w:tc>
          <w:tcPr>
            <w:tcW w:type="dxa" w:w="755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Item</w:t>
            </w:r>
          </w:p>
        </w:tc>
        <w:tc>
          <w:tcPr>
            <w:tcW w:type="dxa" w:w="60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Source</w:t>
            </w:r>
          </w:p>
        </w:tc>
        <w:tc>
          <w:tcPr>
            <w:tcW w:type="dxa" w:w="60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Sev</w:t>
            </w:r>
          </w:p>
        </w:tc>
      </w:tr>
      <w:tr>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1.1</w:t>
            </w:r>
          </w:p>
        </w:tc>
        <w:tc>
          <w:tcPr>
            <w:tcW w:type="dxa" w:w="75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"Fifty years of that literature"</w:t>
            </w:r>
            <w:r>
              <w:t xml:space="preserve"> overstates by ~20 years. The typology originates with Shapiro, Sheppard &amp; Cheraskin (1992), uncited. And Lewicki/Tomlinson/Gillespie 2006 is glossed as an "update" endorsing the stage model when its actual burden is that trust development over time is under-conceptualised and under-measured.</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Lewicki F1 + sweep</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1.2</w:t>
            </w:r>
          </w:p>
        </w:tc>
        <w:tc>
          <w:tcPr>
            <w:tcW w:type="dxa" w:w="75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Strathern / Goodhart attribution.</w:t>
            </w:r>
            <w:r>
              <w:t xml:space="preserve"> "When a measure becomes a target, it ceases to be a good measure" is Strathern's own sentence (1997, p. 308), not a popular summary of Goodhart's law. The correct note is three-layered: Goodhart 1975 (differently worded) → Hoskin 1996 ("every measure which becomes a target becomes a bad measure") → Strathern 1997 at 308. Body text is clean and names nobody.</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sweep CS-1</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w:t>
            </w:r>
          </w:p>
        </w:tc>
      </w:tr>
      <w:tr>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1.3</w:t>
            </w:r>
          </w:p>
        </w:tc>
        <w:tc>
          <w:tcPr>
            <w:tcW w:type="dxa" w:w="75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Preregistration is defined wrongly.</w:t>
            </w:r>
            <w:r>
              <w:t xml:space="preserve"> Its function is to separate confirmatory from exploratory analysis and constrain researcher degrees of freedom — not to "keep a researcher honest." (The honesty framing is the most common reason honest researchers skip the tool.)</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Nosek F1</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w:t>
            </w:r>
          </w:p>
        </w:tc>
      </w:tr>
      <w:tr>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1.4</w:t>
            </w:r>
          </w:p>
        </w:tc>
        <w:tc>
          <w:tcPr>
            <w:tcW w:type="dxa" w:w="75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Disclose the start date.</w:t>
            </w:r>
            <w:r>
              <w:t xml:space="preserve"> The paper reports already-observed room-build behaviour, two field redesigns, and eighteen months of prototyping, without saying when observation began.</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Nosek F2 residue</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w:t>
            </w:r>
          </w:p>
        </w:tc>
      </w:tr>
      <w:tr>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1.5</w:t>
            </w:r>
          </w:p>
        </w:tc>
        <w:tc>
          <w:tcPr>
            <w:tcW w:type="dxa" w:w="75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State n.</w:t>
            </w:r>
            <w:r>
              <w:t xml:space="preserve"> Never appears anywhere. Several of the paper's own disconfirmation conditions need a denominator.</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Nosek F3, Vazire F8</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1.6</w:t>
            </w:r>
          </w:p>
        </w:tc>
        <w:tc>
          <w:tcPr>
            <w:tcW w:type="dxa" w:w="75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Teach-back citation.</w:t>
            </w:r>
            <w:r>
              <w:t xml:space="preserve"> "Consolidation" is a memory/retention claim from the self-explanation and learning-by-teaching literatures, not Schön's. Cite Schön for the round's </w:t>
            </w:r>
            <w:r>
              <w:rPr>
                <w:i/>
                <w:iCs/>
              </w:rPr>
              <w:t xml:space="preserve">first two</w:t>
            </w:r>
            <w:r>
              <w:t xml:space="preserve"> questions, which genuinely are reflection-on-action.</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Schön F1</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w:t>
            </w:r>
          </w:p>
        </w:tc>
      </w:tr>
      <w:tr>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1.7</w:t>
            </w:r>
          </w:p>
        </w:tc>
        <w:tc>
          <w:tcPr>
            <w:tcW w:type="dxa" w:w="75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Romans 10:17</w:t>
            </w:r>
            <w:r>
              <w:t xml:space="preserve"> concerns the proclaimed gospel producing saving faith, not discerning God's address in a passage.</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sweep CS-7</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MED</w:t>
            </w:r>
          </w:p>
        </w:tc>
      </w:tr>
      <w:tr>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1.8</w:t>
            </w:r>
          </w:p>
        </w:tc>
        <w:tc>
          <w:tcPr>
            <w:tcW w:type="dxa" w:w="75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Publishers:</w:t>
            </w:r>
            <w:r>
              <w:t xml:space="preserve"> </w:t>
            </w:r>
            <w:r>
              <w:rPr>
                <w:i/>
                <w:iCs/>
              </w:rPr>
              <w:t xml:space="preserve">Life Together</w:t>
            </w:r>
            <w:r>
              <w:t xml:space="preserve"> 1954 was Harper &amp; Brothers (Harper &amp; Row did not exist until 1962); ChurchSmart is St. Charles, IL, not Carol Stream.</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sweep</w:t>
            </w:r>
          </w:p>
        </w:tc>
        <w:tc>
          <w:tcPr>
            <w:tcW w:type="dxa" w:w="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LOW</w:t>
            </w:r>
          </w:p>
        </w:tc>
      </w:tr>
    </w:tbl>
    <w:p>
      <w:pPr>
        <w:spacing w:after="80"/>
      </w:pPr>
      <w:r>
        <w:t xml:space="preserve"/>
      </w:r>
    </w:p>
    <w:p>
      <w:pPr>
        <w:pStyle w:val="Heading3"/>
      </w:pPr>
      <w:r>
        <w:t xml:space="preserve">Tier 2 — structural findings that survived at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4"/>
        <w:gridCol w:w="7577"/>
        <w:gridCol w:w="594"/>
        <w:gridCol w:w="595"/>
      </w:tblGrid>
      <w:tr>
        <w:trPr>
          <w:tblHeader/>
        </w:trPr>
        <w:tc>
          <w:tcPr>
            <w:tcW w:type="dxa" w:w="59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w:t>
            </w:r>
          </w:p>
        </w:tc>
        <w:tc>
          <w:tcPr>
            <w:tcW w:type="dxa" w:w="757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Item</w:t>
            </w:r>
          </w:p>
        </w:tc>
        <w:tc>
          <w:tcPr>
            <w:tcW w:type="dxa" w:w="59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Source</w:t>
            </w:r>
          </w:p>
        </w:tc>
        <w:tc>
          <w:tcPr>
            <w:tcW w:type="dxa" w:w="59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Sev</w:t>
            </w:r>
          </w:p>
        </w:tc>
      </w:tr>
      <w:tr>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2.1</w:t>
            </w:r>
          </w:p>
        </w:tc>
        <w:tc>
          <w:tcPr>
            <w:tcW w:type="dxa" w:w="757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Held / known / owned cannot discriminate the three trust stages.</w:t>
            </w:r>
            <w:r>
              <w:t xml:space="preserve"> All three exemplar phrases sit on one warmth scale, so the instrument will register "migration" whenever the room merely grows warmer. Sharper than filed: the paper's </w:t>
            </w:r>
            <w:r>
              <w:rPr>
                <w:i/>
                <w:iCs/>
              </w:rPr>
              <w:t xml:space="preserve">gloss</w:t>
            </w:r>
            <w:r>
              <w:t xml:space="preserve"> of knowledge-based trust is correct while its </w:t>
            </w:r>
            <w:r>
              <w:rPr>
                <w:i/>
                <w:iCs/>
              </w:rPr>
              <w:t xml:space="preserve">exemplar</w:t>
            </w:r>
            <w:r>
              <w:t xml:space="preserve"> ("they know me there") inverts it — that is Altman-Taylor's being-known, not Lewicki's predictability-I-hold. </w:t>
            </w:r>
            <w:r>
              <w:rPr>
                <w:b/>
                <w:bCs/>
              </w:rPr>
              <w:t xml:space="preserve">Remedy that survived scrutiny:</w:t>
            </w:r>
            <w:r>
              <w:t xml:space="preserve"> read the stages off behaviour the year already schedules — who can predict whom, and who acts as agent for another — and demote vocabulary to corroborating evidence.</w:t>
            </w:r>
          </w:p>
        </w:tc>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Lewicki F2</w:t>
            </w:r>
          </w:p>
        </w:tc>
        <w:tc>
          <w:tcPr>
            <w:tcW w:type="dxa" w:w="5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2.2</w:t>
            </w:r>
          </w:p>
        </w:tc>
        <w:tc>
          <w:tcPr>
            <w:tcW w:type="dxa" w:w="757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"Six small events that the safety research validates" — it validates about two and a half.</w:t>
            </w:r>
            <w:r>
              <w:t xml:space="preserve"> Verified against the 1999 article's own appendix items. Leader coaching is an antecedent scale, not an inverse indicator. The paper also contradicts itself: it owns the leader-necessity marker as its own observation earlier and folds it into the credited set later.</w:t>
            </w:r>
          </w:p>
        </w:tc>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Edmondson F1</w:t>
            </w:r>
          </w:p>
        </w:tc>
        <w:tc>
          <w:tcPr>
            <w:tcW w:type="dxa" w:w="5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2.3</w:t>
            </w:r>
          </w:p>
        </w:tc>
        <w:tc>
          <w:tcPr>
            <w:tcW w:type="dxa" w:w="757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Psychological safety is defined as a shared belief and is never measured, never disaggregated, and never asked of the teenagers</w:t>
            </w:r>
            <w:r>
              <w:t xml:space="preserve"> — the one subgroup whose belief is most likely to diverge, seated with their own parents under a rule that parents speak first. All six markers can be satisfied by the adults alone while the room reads as a success and unsafe families quietly stop attending. </w:t>
            </w:r>
            <w:r>
              <w:rPr>
                <w:b/>
                <w:bCs/>
              </w:rPr>
              <w:t xml:space="preserve">Attrition is never read as safety data.</w:t>
            </w:r>
          </w:p>
        </w:tc>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Edmondson F2</w:t>
            </w:r>
          </w:p>
        </w:tc>
        <w:tc>
          <w:tcPr>
            <w:tcW w:type="dxa" w:w="5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2.4</w:t>
            </w:r>
          </w:p>
        </w:tc>
        <w:tc>
          <w:tcPr>
            <w:tcW w:type="dxa" w:w="757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Group-aloud reporting is not independent informant data.</w:t>
            </w:r>
            <w:r>
              <w:t xml:space="preserve"> No anonymity, no privacy from the target, every informant also a target, leader answering first, scribed in the room. Defensible for verifiable event-level facts; not for a latent trust stage. Directly undercuts the paper's own "unprompted salience" claim.</w:t>
            </w:r>
          </w:p>
        </w:tc>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Vazire F3 + Lewicki F10</w:t>
            </w:r>
          </w:p>
        </w:tc>
        <w:tc>
          <w:tcPr>
            <w:tcW w:type="dxa" w:w="5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2.5</w:t>
            </w:r>
          </w:p>
        </w:tc>
        <w:tc>
          <w:tcPr>
            <w:tcW w:type="dxa" w:w="757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No inter-rater reliability, no blinding, ratchet-only promotion.</w:t>
            </w:r>
            <w:r>
              <w:t xml:space="preserve"> Unblinded invested raters on the instrument carrying the argument, with promotion after three consecutive "seen" and no demotion rule. Near-free fix: strip and shuffle transcripts, fix the codebook in advance, second coder. </w:t>
            </w:r>
            <w:r>
              <w:rPr>
                <w:b/>
                <w:bCs/>
              </w:rPr>
              <w:t xml:space="preserve">Constraint:</w:t>
            </w:r>
            <w:r>
              <w:t xml:space="preserve"> an outside coder on confidential verbatim transcripts breaks the Measurement Covenant — the fix must work without releasing transcripts.</w:t>
            </w:r>
          </w:p>
        </w:tc>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Vazire F5</w:t>
            </w:r>
          </w:p>
        </w:tc>
        <w:tc>
          <w:tcPr>
            <w:tcW w:type="dxa" w:w="5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2.6</w:t>
            </w:r>
          </w:p>
        </w:tc>
        <w:tc>
          <w:tcPr>
            <w:tcW w:type="dxa" w:w="757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The taxonomy's status is never declared.</w:t>
            </w:r>
            <w:r>
              <w:t xml:space="preserve"> A 1964 classification of educational </w:t>
            </w:r>
            <w:r>
              <w:rPr>
                <w:i/>
                <w:iCs/>
              </w:rPr>
              <w:t xml:space="preserve">objectives</w:t>
            </w:r>
            <w:r>
              <w:t xml:space="preserve"> is used as a validated developmental ladder that persons and groups ascend on a school-year schedule. It was never validated as a stage model. One paragraph fixes it.</w:t>
            </w:r>
          </w:p>
        </w:tc>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Krathwohl F4</w:t>
            </w:r>
          </w:p>
        </w:tc>
        <w:tc>
          <w:tcPr>
            <w:tcW w:type="dxa" w:w="5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r>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2.7</w:t>
            </w:r>
          </w:p>
        </w:tc>
        <w:tc>
          <w:tcPr>
            <w:tcW w:type="dxa" w:w="757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"Organization" is redefined as corporate discernment</w:t>
            </w:r>
            <w:r>
              <w:t xml:space="preserve">, and the single-domain restriction structurally empties the real category, whose subcategories require competing values to organise.</w:t>
            </w:r>
          </w:p>
        </w:tc>
        <w:tc>
          <w:tcPr>
            <w:tcW w:type="dxa" w:w="59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Krathwohl F3</w:t>
            </w:r>
          </w:p>
        </w:tc>
        <w:tc>
          <w:tcPr>
            <w:tcW w:type="dxa" w:w="59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HIGH</w:t>
            </w:r>
          </w:p>
        </w:tc>
      </w:tr>
    </w:tbl>
    <w:p>
      <w:pPr>
        <w:spacing w:after="80"/>
      </w:pPr>
      <w:r>
        <w:t xml:space="preserve"/>
      </w:r>
    </w:p>
    <w:p>
      <w:pPr>
        <w:pStyle w:val="Heading3"/>
      </w:pPr>
      <w:r>
        <w:t xml:space="preserve">Tier 3 — the one structural fact, four consequences, one remedy</w:t>
      </w:r>
    </w:p>
    <w:p>
      <w:pPr>
        <w:spacing w:after="140"/>
      </w:pPr>
      <w:r>
        <w:rPr>
          <w:b/>
          <w:bCs/>
        </w:rPr>
        <w:t xml:space="preserve">2.8 — No channel in the design is independent of the designer.</w:t>
      </w:r>
      <w:r>
        <w:t xml:space="preserve"> Observed by Vazire (unblinded invested raters), Lewicki (no codebook, no second coder), Nosek (researcher degrees of freedom), and Schön (no theory-in-use detection). Weight as </w:t>
      </w:r>
      <w:r>
        <w:rPr>
          <w:b/>
          <w:bCs/>
        </w:rPr>
        <w:t xml:space="preserve">one finding</w:t>
      </w:r>
      <w:r>
        <w:t xml:space="preserve">, not four.</w:t>
      </w:r>
    </w:p>
    <w:p>
      <w:pPr>
        <w:spacing w:after="140"/>
      </w:pPr>
      <w:r>
        <w:rPr>
          <w:b/>
          <w:bCs/>
        </w:rPr>
        <w:t xml:space="preserve">The remedy is inside the paper's own cited methodology.</w:t>
      </w:r>
      <w:r>
        <w:t xml:space="preserve"> Cameron and colleagues' theological action research — cited at footnote 15 for the paper's legitimacy — is an </w:t>
      </w:r>
      <w:r>
        <w:rPr>
          <w:i/>
          <w:iCs/>
        </w:rPr>
        <w:t xml:space="preserve">insider–outsider partnership</w:t>
      </w:r>
      <w:r>
        <w:t xml:space="preserve">. The pilot has the designer as sole observer. The paper names the conflict honestly without noting that the method it cites carries the standard remedy for it.</w:t>
      </w:r>
    </w:p>
    <w:p>
      <w:pPr>
        <w:spacing w:after="140"/>
      </w:pPr>
      <w:r>
        <w:t xml:space="preserve">Cheapest forms proposed and surviving: a surprise line on the debrief sheet ("one thing tonight that did not go as I expected"); one genuine outsider, two hours a quarter, answering </w:t>
      </w:r>
      <w:r>
        <w:rPr>
          <w:i/>
          <w:iCs/>
        </w:rPr>
        <w:t xml:space="preserve">judging only by what this program does, what does it appear to believe?</w:t>
      </w:r>
      <w:r>
        <w:t xml:space="preserve">; and blind coding of the three self-reads. All must respect the covenant constraint at 2.5.</w:t>
      </w:r>
    </w:p>
    <w:p>
      <w:pPr>
        <w:pStyle w:val="Heading3"/>
      </w:pPr>
      <w:r>
        <w:t xml:space="preserve">Tier 4 — downgraded but worth a sentence each</w:t>
      </w:r>
    </w:p>
    <w:p>
      <w:pPr>
        <w:pStyle w:val="ListParagraph"/>
        <w:numPr>
          <w:ilvl w:val="0"/>
          <w:numId w:val="2"/>
        </w:numPr>
        <w:spacing w:after="60"/>
      </w:pPr>
      <w:r>
        <w:t xml:space="preserve">Ordinal arithmetic on "one level or more" — real but not load-bearing; appears in no disconfirmation condition and is never reported. Note: the "never a scorecard" guard answers an </w:t>
      </w:r>
      <w:r>
        <w:rPr>
          <w:i/>
          <w:iCs/>
        </w:rPr>
        <w:t xml:space="preserve">ethical</w:t>
      </w:r>
      <w:r>
        <w:t xml:space="preserve"> objection while this is a </w:t>
      </w:r>
      <w:r>
        <w:rPr>
          <w:i/>
          <w:iCs/>
        </w:rPr>
        <w:t xml:space="preserve">psychometric</w:t>
      </w:r>
      <w:r>
        <w:t xml:space="preserve"> one; they pass without touching.</w:t>
      </w:r>
    </w:p>
    <w:p>
      <w:pPr>
        <w:pStyle w:val="ListParagraph"/>
        <w:numPr>
          <w:ilvl w:val="0"/>
          <w:numId w:val="2"/>
        </w:numPr>
        <w:spacing w:after="60"/>
      </w:pPr>
      <w:r>
        <w:t xml:space="preserve">The structural-ceiling claim is stronger than Handbook II supports and stronger than SOKA supports. Sharpened form: </w:t>
      </w:r>
      <w:r>
        <w:rPr>
          <w:i/>
          <w:iCs/>
        </w:rPr>
        <w:t xml:space="preserve">if the ceiling sentence were true as written, break-survival could not work.</w:t>
      </w:r>
      <w:r>
        <w:t xml:space="preserve"> One clause, one occurrence; the abstract does not repeat it.</w:t>
      </w:r>
    </w:p>
    <w:p>
      <w:pPr>
        <w:pStyle w:val="ListParagraph"/>
        <w:numPr>
          <w:ilvl w:val="0"/>
          <w:numId w:val="2"/>
        </w:numPr>
        <w:spacing w:after="60"/>
      </w:pPr>
      <w:r>
        <w:t xml:space="preserve">Disconfirmation conditions: several have undefined terms or disjunctive escapes. Two reviewers audited independently and agreed on the pattern while disagreeing on the count.</w:t>
      </w:r>
    </w:p>
    <w:p>
      <w:pPr>
        <w:pStyle w:val="ListParagraph"/>
        <w:numPr>
          <w:ilvl w:val="0"/>
          <w:numId w:val="2"/>
        </w:numPr>
        <w:spacing w:after="60"/>
      </w:pPr>
      <w:r>
        <w:rPr>
          <w:i/>
          <w:iCs/>
        </w:rPr>
        <w:t xml:space="preserve">Move</w:t>
      </w:r>
      <w:r>
        <w:t xml:space="preserve"> and </w:t>
      </w:r>
      <w:r>
        <w:rPr>
          <w:i/>
          <w:iCs/>
        </w:rPr>
        <w:t xml:space="preserve">Natural Church Development</w:t>
      </w:r>
      <w:r>
        <w:t xml:space="preserve"> are offered as the instrument landscape for an individual-maturity argument; one is congregational self-report segmentation, the other organisational church health.</w:t>
      </w:r>
    </w:p>
    <w:p>
      <w:pPr>
        <w:pStyle w:val="ListParagraph"/>
        <w:numPr>
          <w:ilvl w:val="0"/>
          <w:numId w:val="2"/>
        </w:numPr>
        <w:spacing w:after="60"/>
      </w:pPr>
      <w:r>
        <w:t xml:space="preserve">Pre-existing parent–child dyads already sit at identification-based trust on day one, and are the ones disclosing first.</w:t>
      </w:r>
    </w:p>
    <w:p>
      <w:pPr>
        <w:pBdr>
          <w:bottom w:val="single" w:color="999999" w:sz="6" w:space="4"/>
        </w:pBdr>
        <w:spacing w:after="100" w:before="100"/>
      </w:pPr>
      <w:r>
        <w:t xml:space="preserve"/>
      </w:r>
    </w:p>
    <w:p>
      <w:pPr>
        <w:pStyle w:val="Heading2"/>
      </w:pPr>
      <w:r>
        <w:t xml:space="preserve">4. Remedies the panel proposed that would damage the paper</w:t>
      </w:r>
    </w:p>
    <w:p>
      <w:pPr>
        <w:spacing w:after="140"/>
      </w:pPr>
      <w:r>
        <w:t xml:space="preserve">Recorded because a punch-list without this section is dangerous to a pastoral design.</w:t>
      </w:r>
    </w:p>
    <w:p>
      <w:pPr>
        <w:pStyle w:val="ListParagraph"/>
        <w:numPr>
          <w:ilvl w:val="0"/>
          <w:numId w:val="2"/>
        </w:numPr>
        <w:spacing w:after="60"/>
      </w:pPr>
      <w:r>
        <w:rPr>
          <w:b/>
          <w:bCs/>
        </w:rPr>
        <w:t xml:space="preserve">Unsigned index cards at the self-reads</w:t>
      </w:r>
      <w:r>
        <w:t xml:space="preserve"> — crosses the permission bright line and undoes two field revisions.</w:t>
      </w:r>
    </w:p>
    <w:p>
      <w:pPr>
        <w:pStyle w:val="ListParagraph"/>
        <w:numPr>
          <w:ilvl w:val="0"/>
          <w:numId w:val="2"/>
        </w:numPr>
        <w:spacing w:after="60"/>
      </w:pPr>
      <w:r>
        <w:rPr>
          <w:b/>
          <w:bCs/>
        </w:rPr>
        <w:t xml:space="preserve">Instrumenting Organization as real value-conflict</w:t>
      </w:r>
      <w:r>
        <w:t xml:space="preserve"> in a room where parents sit with their own teenagers.</w:t>
      </w:r>
    </w:p>
    <w:p>
      <w:pPr>
        <w:pStyle w:val="ListParagraph"/>
        <w:numPr>
          <w:ilvl w:val="0"/>
          <w:numId w:val="2"/>
        </w:numPr>
        <w:spacing w:after="60"/>
      </w:pPr>
      <w:r>
        <w:rPr>
          <w:b/>
          <w:bCs/>
        </w:rPr>
        <w:t xml:space="preserve">An outside coder on confidential verbatim transcripts</w:t>
      </w:r>
      <w:r>
        <w:t xml:space="preserve"> — breaks the Measurement Covenant.</w:t>
      </w:r>
    </w:p>
    <w:p>
      <w:pPr>
        <w:pStyle w:val="ListParagraph"/>
        <w:numPr>
          <w:ilvl w:val="0"/>
          <w:numId w:val="2"/>
        </w:numPr>
        <w:spacing w:after="60"/>
      </w:pPr>
      <w:r>
        <w:rPr>
          <w:b/>
          <w:bCs/>
        </w:rPr>
        <w:t xml:space="preserve">Numeric primary-outcome thresholds</w:t>
      </w:r>
      <w:r>
        <w:t xml:space="preserve"> — contradicts "no target is ever announced," a commitment warranted by the very Strathern argument the paper cites.</w:t>
      </w:r>
    </w:p>
    <w:p>
      <w:pPr>
        <w:pStyle w:val="ListParagraph"/>
        <w:numPr>
          <w:ilvl w:val="0"/>
          <w:numId w:val="2"/>
        </w:numPr>
        <w:spacing w:after="60"/>
      </w:pPr>
      <w:r>
        <w:rPr>
          <w:b/>
          <w:bCs/>
        </w:rPr>
        <w:t xml:space="preserve">The full nine-item OSF deposit</w:t>
      </w:r>
      <w:r>
        <w:t xml:space="preserve"> — three of its contents collide with the no-targets commitment.</w:t>
      </w:r>
    </w:p>
    <w:p>
      <w:pPr>
        <w:pStyle w:val="ListParagraph"/>
        <w:numPr>
          <w:ilvl w:val="0"/>
          <w:numId w:val="2"/>
        </w:numPr>
        <w:spacing w:after="60"/>
      </w:pPr>
      <w:r>
        <w:rPr>
          <w:b/>
          <w:bCs/>
        </w:rPr>
        <w:t xml:space="preserve">Stacking five separate framework-status declarations</w:t>
      </w:r>
      <w:r>
        <w:t xml:space="preserve"> before the five principles; consolidate to one paragraph or the opening becomes a methods preamble.</w:t>
      </w:r>
    </w:p>
    <w:p>
      <w:pPr>
        <w:pBdr>
          <w:bottom w:val="single" w:color="999999" w:sz="6" w:space="4"/>
        </w:pBdr>
        <w:spacing w:after="100" w:before="100"/>
      </w:pPr>
      <w:r>
        <w:t xml:space="preserve"/>
      </w:r>
    </w:p>
    <w:p>
      <w:pPr>
        <w:pStyle w:val="Heading2"/>
      </w:pPr>
      <w:r>
        <w:t xml:space="preserve">5. What this implies beyond the paper</w:t>
      </w:r>
    </w:p>
    <w:p>
      <w:pPr>
        <w:spacing w:after="140"/>
      </w:pPr>
      <w:r>
        <w:t xml:space="preserve">Two findings reach into published material and should be adjudicated together with the paper, not after it.</w:t>
      </w:r>
    </w:p>
    <w:p>
      <w:pPr>
        <w:pStyle w:val="ListParagraph"/>
        <w:numPr>
          <w:ilvl w:val="0"/>
          <w:numId w:val="2"/>
        </w:numPr>
        <w:spacing w:after="60"/>
      </w:pPr>
      <w:r>
        <w:rPr>
          <w:b/>
          <w:bCs/>
        </w:rPr>
        <w:t xml:space="preserve">2.1 (held / known / owned)</w:t>
      </w:r>
      <w:r>
        <w:t xml:space="preserve"> is the spine of the </w:t>
      </w:r>
      <w:r>
        <w:rPr>
          <w:i/>
          <w:iCs/>
        </w:rPr>
        <w:t xml:space="preserve">Watching Trust Grow</w:t>
      </w:r>
      <w:r>
        <w:t xml:space="preserve"> card, live on fellowshipoftheheart.org, and the basis of IJH Research Register trail 6.</w:t>
      </w:r>
    </w:p>
    <w:p>
      <w:pPr>
        <w:pStyle w:val="ListParagraph"/>
        <w:numPr>
          <w:ilvl w:val="0"/>
          <w:numId w:val="2"/>
        </w:numPr>
        <w:spacing w:after="60"/>
      </w:pPr>
      <w:r>
        <w:rPr>
          <w:b/>
          <w:bCs/>
        </w:rPr>
        <w:t xml:space="preserve">2.2 ("six markers the safety research validates")</w:t>
      </w:r>
      <w:r>
        <w:t xml:space="preserve"> is claimed in the same card in the same words.</w:t>
      </w:r>
    </w:p>
    <w:p>
      <w:pPr>
        <w:spacing w:after="140"/>
      </w:pPr>
      <w:r>
        <w:t xml:space="preserve">Neither is a safety issue and neither is urgent this week. But the card is a teaching instrument that Companions will start using in September, and it currently teaches the overclaim.</w:t>
      </w:r>
    </w:p>
    <w:p>
      <w:pPr>
        <w:pBdr>
          <w:bottom w:val="single" w:color="999999" w:sz="6" w:space="4"/>
        </w:pBdr>
        <w:spacing w:after="100" w:before="100"/>
      </w:pPr>
      <w:r>
        <w:t xml:space="preserve"/>
      </w:r>
    </w:p>
    <w:p>
      <w:pPr>
        <w:pStyle w:val="Heading2"/>
      </w:pPr>
      <w:r>
        <w:t xml:space="preserve">6. Recommended order of work</w:t>
      </w:r>
    </w:p>
    <w:p>
      <w:pPr>
        <w:spacing w:after="140"/>
      </w:pPr>
      <w:r>
        <w:t xml:space="preserve">1. </w:t>
      </w:r>
      <w:r>
        <w:rPr>
          <w:b/>
          <w:bCs/>
        </w:rPr>
        <w:t xml:space="preserve">Tier 1</w:t>
      </w:r>
      <w:r>
        <w:t xml:space="preserve"> in one pass. Small, certain, no design consequences.</w:t>
      </w:r>
    </w:p>
    <w:p>
      <w:pPr>
        <w:spacing w:after="140"/>
      </w:pPr>
      <w:r>
        <w:t xml:space="preserve">2. </w:t>
      </w:r>
      <w:r>
        <w:rPr>
          <w:b/>
          <w:bCs/>
        </w:rPr>
        <w:t xml:space="preserve">2.1 and 2.2 together</w:t>
      </w:r>
      <w:r>
        <w:t xml:space="preserve">, paper and card in the same sitting, since they share wording.</w:t>
      </w:r>
    </w:p>
    <w:p>
      <w:pPr>
        <w:spacing w:after="140"/>
      </w:pPr>
      <w:r>
        <w:t xml:space="preserve">3. </w:t>
      </w:r>
      <w:r>
        <w:rPr>
          <w:b/>
          <w:bCs/>
        </w:rPr>
        <w:t xml:space="preserve">The convergent restructure</w:t>
      </w:r>
      <w:r>
        <w:t xml:space="preserve"> — traces carry the argument, judgments carry the formation. This</w:t>
      </w:r>
    </w:p>
    <w:p>
      <w:pPr>
        <w:spacing w:after="140"/>
      </w:pPr>
      <w:r>
        <w:t xml:space="preserve">is the change that answers 2.4, 2.5, and most of Tier 4 at once.</w:t>
      </w:r>
    </w:p>
    <w:p>
      <w:pPr>
        <w:spacing w:after="140"/>
      </w:pPr>
      <w:r>
        <w:t xml:space="preserve">4. </w:t>
      </w:r>
      <w:r>
        <w:rPr>
          <w:b/>
          <w:bCs/>
        </w:rPr>
        <w:t xml:space="preserve">2.3 and 2.8</w:t>
      </w:r>
      <w:r>
        <w:t xml:space="preserve"> — the teen-gap read and the outsider channel. Both are design decisions with</w:t>
      </w:r>
    </w:p>
    <w:p>
      <w:pPr>
        <w:spacing w:after="140"/>
      </w:pPr>
      <w:r>
        <w:t xml:space="preserve">pastoral consequences and belong to the author alone.</w:t>
      </w:r>
    </w:p>
    <w:p>
      <w:pPr>
        <w:spacing w:after="140"/>
      </w:pPr>
      <w:r>
        <w:t xml:space="preserve">5. </w:t>
      </w:r>
      <w:r>
        <w:rPr>
          <w:b/>
          <w:bCs/>
        </w:rPr>
        <w:t xml:space="preserve">Stage B (methodology panel)</w:t>
      </w:r>
      <w:r>
        <w:t xml:space="preserve"> after the above, on a corrected paper.</w:t>
      </w:r>
    </w:p>
    <w:p>
      <w:pPr>
        <w:pBdr>
          <w:bottom w:val="single" w:color="999999" w:sz="6" w:space="4"/>
        </w:pBdr>
        <w:spacing w:after="100" w:before="100"/>
      </w:pPr>
      <w:r>
        <w:t xml:space="preserve"/>
      </w:r>
    </w:p>
    <w:p>
      <w:pPr>
        <w:spacing w:after="140"/>
      </w:pPr>
      <w:r>
        <w:rPr>
          <w:i/>
          <w:iCs/>
        </w:rPr>
        <w:t xml:space="preserve">Artifact of the Stage A source-fidelity review. Reviews, refuter verdicts, and this synthesis are dev-only and are never published to any 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2026-08-19T14:21:49.082Z</dcterms:created>
  <dcterms:modified xsi:type="dcterms:W3CDTF">2026-08-19T14:21:49.083Z</dcterms:modified>
</cp:coreProperties>
</file>

<file path=docProps/custom.xml><?xml version="1.0" encoding="utf-8"?>
<Properties xmlns="http://schemas.openxmlformats.org/officeDocument/2006/custom-properties" xmlns:vt="http://schemas.openxmlformats.org/officeDocument/2006/docPropsVTypes"/>
</file>