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Stage B — Methodology Review · Synthesis and Punch-List</w:t>
      </w:r>
    </w:p>
    <w:p>
      <w:pPr>
        <w:spacing w:after="140"/>
      </w:pPr>
      <w:r>
        <w:rPr>
          <w:b/>
          <w:bCs/>
        </w:rPr>
        <w:t xml:space="preserve">Target:</w:t>
      </w:r>
      <w:r>
        <w:t xml:space="preserve"> "Twenty-Two Wednesdays as a Fellowship of the Heart," JSFSC protocol paper, draft v2.3 as corrected by Stage A </w:t>
      </w:r>
      <w:r>
        <w:rPr>
          <w:b/>
          <w:bCs/>
        </w:rPr>
        <w:t xml:space="preserve">Run:</w:t>
      </w:r>
      <w:r>
        <w:t xml:space="preserve"> 2026-08-19 · </w:t>
      </w:r>
      <w:r>
        <w:rPr>
          <w:b/>
          <w:bCs/>
        </w:rPr>
        <w:t xml:space="preserve">Method:</w:t>
      </w:r>
      <w:r>
        <w:t xml:space="preserve"> IJH Peer-Review Panel Registry standing protocol </w:t>
      </w:r>
      <w:r>
        <w:rPr>
          <w:b/>
          <w:bCs/>
        </w:rPr>
        <w:t xml:space="preserve">Panel:</w:t>
      </w:r>
      <w:r>
        <w:t xml:space="preserve"> Richard Osmer (practical-theology method) · Bonnie Miller-McLemore (practical theology, the living human web) · Todd W. Hall (spiritual-maturity psychometrics) · Michael Quinn Patton (developmental and principles-focused evaluation) · Robert Yin (case-study design) </w:t>
      </w:r>
      <w:r>
        <w:rPr>
          <w:b/>
          <w:bCs/>
        </w:rPr>
        <w:t xml:space="preserve">Verification:</w:t>
      </w:r>
      <w:r>
        <w:t xml:space="preserve"> two adversarial refuters; every HIGH and MEDIUM finding given a verdict before weighting</w:t>
      </w:r>
    </w:p>
    <w:p>
      <w:pPr>
        <w:pBdr>
          <w:left w:val="single" w:color="B0B7C0" w:sz="12" w:space="8"/>
        </w:pBdr>
        <w:spacing w:after="80"/>
        <w:ind w:left="480"/>
      </w:pPr>
      <w:r>
        <w:rPr>
          <w:b/>
          <w:bCs/>
        </w:rPr>
        <w:t xml:space="preserve">Status.</w:t>
      </w:r>
      <w:r>
        <w:t xml:space="preserve"> Findings, not instructions. Nothing has been applied to the manuscript or the pilot.</w:t>
      </w:r>
    </w:p>
    <w:p>
      <w:pPr>
        <w:pBdr>
          <w:bottom w:val="single" w:color="999999" w:sz="6" w:space="4"/>
        </w:pBdr>
        <w:spacing w:after="100" w:before="100"/>
      </w:pPr>
      <w:r>
        <w:t xml:space="preserve"/>
      </w:r>
    </w:p>
    <w:p>
      <w:pPr>
        <w:pStyle w:val="Heading2"/>
      </w:pPr>
      <w:r>
        <w:t xml:space="preserve">1. What Stage B found</w:t>
      </w:r>
    </w:p>
    <w:p>
      <w:pPr>
        <w:spacing w:after="140"/>
      </w:pPr>
      <w:r>
        <w:t xml:space="preserve">Seventy-seven findings across five reviewers. After verification the picture is narrower than the raw reviews suggest, and more useful.</w:t>
      </w:r>
    </w:p>
    <w:p>
      <w:pPr>
        <w:spacing w:after="140"/>
      </w:pPr>
      <w:r>
        <w:rPr>
          <w:b/>
          <w:bCs/>
        </w:rPr>
        <w:t xml:space="preserve">The design's instrument craft is genuinely strong.</w:t>
      </w:r>
      <w:r>
        <w:t xml:space="preserve"> Hall called the aged sign forms the best idea in the paper and noted the author had independently re-invented item-difficulty matching. Patton credited the liturgy-scheduled unobtrusive traces, the anchored calibration pages, and the reporting of two abandoned instruments. Yin credited the published failure conditions as better than most protocol papers manage. Osmer judged the article competent as practitioner research and as a protocol. None of that should be lost in the punch-list below.</w:t>
      </w:r>
    </w:p>
    <w:p>
      <w:pPr>
        <w:spacing w:after="140"/>
      </w:pPr>
      <w:r>
        <w:rPr>
          <w:b/>
          <w:bCs/>
        </w:rPr>
        <w:t xml:space="preserve">The weakness is not measurement. It is self-accountability.</w:t>
      </w:r>
      <w:r>
        <w:t xml:space="preserve"> Patton's phrase is the accurate one: unusually strong on instrument craft, unusually weak on the machinery that would let the design catch itself. Three reviewers reached that from independent premises and their verified core is this:</w:t>
      </w:r>
    </w:p>
    <w:p>
      <w:pPr>
        <w:pBdr>
          <w:left w:val="single" w:color="B0B7C0" w:sz="12" w:space="8"/>
        </w:pBdr>
        <w:spacing w:after="80"/>
        <w:ind w:left="480"/>
      </w:pPr>
      <w:r>
        <w:rPr>
          <w:b/>
          <w:bCs/>
        </w:rPr>
        <w:t xml:space="preserve">Three of the five disconfirmation conditions have no threshold, one has an uninformative pass, one is near-certain to pass on any reading, and none of them tests whether the convictions held.</w:t>
      </w:r>
    </w:p>
    <w:p>
      <w:pPr>
        <w:spacing w:after="140"/>
      </w:pPr>
      <w:r>
        <w:t xml:space="preserve">That sentence, and not "the design cannot fail," is what survived verification.</w:t>
      </w:r>
    </w:p>
    <w:p>
      <w:pPr>
        <w:pBdr>
          <w:bottom w:val="single" w:color="999999" w:sz="6" w:space="4"/>
        </w:pBdr>
        <w:spacing w:after="100" w:before="100"/>
      </w:pPr>
      <w:r>
        <w:t xml:space="preserve"/>
      </w:r>
    </w:p>
    <w:p>
      <w:pPr>
        <w:pStyle w:val="Heading2"/>
      </w:pPr>
      <w:r>
        <w:t xml:space="preserve">2. What verification changed</w:t>
      </w:r>
    </w:p>
    <w:p>
      <w:pPr>
        <w:spacing w:after="140"/>
      </w:pPr>
      <w:r>
        <w:t xml:space="preserve">The refuters struck or narrowed several of the review's most striking claims. Recorded here because a punch-list that hides its own corrections is not trustworthy.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3"/>
        <w:gridCol w:w="676"/>
        <w:gridCol w:w="7441"/>
      </w:tblGrid>
      <w:tr>
        <w:trPr>
          <w:tblHeader/>
        </w:trPr>
        <w:tc>
          <w:tcPr>
            <w:tcW w:type="dxa" w:w="1243"/>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Claim as filed</w:t>
            </w:r>
          </w:p>
        </w:tc>
        <w:tc>
          <w:tcPr>
            <w:tcW w:type="dxa" w:w="676"/>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Verdict</w:t>
            </w:r>
          </w:p>
        </w:tc>
        <w:tc>
          <w:tcPr>
            <w:tcW w:type="dxa" w:w="7441"/>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What remains</w:t>
            </w:r>
          </w:p>
        </w:tc>
      </w:tr>
      <w:tr>
        <w:tc>
          <w:tcPr>
            <w:tcW w:type="dxa" w:w="124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design cannot fail (Hall, Yin, Patton)</w:t>
            </w:r>
          </w:p>
        </w:tc>
        <w:tc>
          <w:tcPr>
            <w:tcW w:type="dxa" w:w="67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narrowed</w:t>
            </w:r>
          </w:p>
        </w:tc>
        <w:tc>
          <w:tcPr>
            <w:tcW w:type="dxa" w:w="744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ladder condition's falsifier </w:t>
            </w:r>
            <w:r>
              <w:rPr>
                <w:i/>
                <w:iCs/>
              </w:rPr>
              <w:t xml:space="preserve">is</w:t>
            </w:r>
            <w:r>
              <w:t xml:space="preserve"> stated in raw-mark terms and the marks are already made. Break-survival and container-collapse remain genuinely falsifiable on mechanical counts. What holds is the threshold sentence above.</w:t>
            </w:r>
          </w:p>
        </w:tc>
      </w:tr>
      <w:tr>
        <w:tc>
          <w:tcPr>
            <w:tcW w:type="dxa" w:w="124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design cannot distinguish formation from consolidation (Osmer + Miller-McLemore)</w:t>
            </w:r>
          </w:p>
        </w:tc>
        <w:tc>
          <w:tcPr>
            <w:tcW w:type="dxa" w:w="67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substantially refuted</w:t>
            </w:r>
          </w:p>
        </w:tc>
        <w:tc>
          <w:tcPr>
            <w:tcW w:type="dxa" w:w="744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Not one convergence but two findings sharing a sentence: closure versus idiom-convergence. Both absolutes are refuted by paragraphs the reviewers praised — break-survival reads the room's absence, the teen-led night reads the leader's absence, "disagreement processed without the leader" is a counted trace idiom-convergence would suppress. </w:t>
            </w:r>
            <w:r>
              <w:rPr>
                <w:b/>
                <w:bCs/>
              </w:rPr>
              <w:t xml:space="preserve">Do not weight as mutual corroboration.</w:t>
            </w:r>
            <w:r>
              <w:t xml:space="preserve"> Surviving core at MEDIUM-HIGH: no outward-facing observation, no content record, and a sociological criterion in the closing claim.</w:t>
            </w:r>
          </w:p>
        </w:tc>
      </w:tr>
      <w:tr>
        <w:tc>
          <w:tcPr>
            <w:tcW w:type="dxa" w:w="124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school's renewal decision is an unserved intended use (Patton)</w:t>
            </w:r>
          </w:p>
        </w:tc>
        <w:tc>
          <w:tcPr>
            <w:tcW w:type="dxa" w:w="67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premise struck</w:t>
            </w:r>
          </w:p>
        </w:tc>
        <w:tc>
          <w:tcPr>
            <w:tcW w:type="dxa" w:w="744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paper never states that decision, its calendar, or its owner; the reviewer supplied all three. Naming a primary intended user survives at MEDIUM.</w:t>
            </w:r>
          </w:p>
        </w:tc>
      </w:tr>
      <w:tr>
        <w:tc>
          <w:tcPr>
            <w:tcW w:type="dxa" w:w="124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Counting cross-generational reciprocity targets a minor's disclosure (Miller-McLemore)</w:t>
            </w:r>
          </w:p>
        </w:tc>
        <w:tc>
          <w:tcPr>
            <w:tcW w:type="dxa" w:w="67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causally inverted</w:t>
            </w:r>
          </w:p>
        </w:tc>
        <w:tc>
          <w:tcPr>
            <w:tcW w:type="dxa" w:w="744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pressure comes from the parents-first liturgy, not the marker; deleting the marker changes nothing. Her </w:t>
            </w:r>
            <w:r>
              <w:rPr>
                <w:i/>
                <w:iCs/>
              </w:rPr>
              <w:t xml:space="preserve">remedy</w:t>
            </w:r>
            <w:r>
              <w:t xml:space="preserve"> is better than her finding and is worth adopting anyway.</w:t>
            </w:r>
          </w:p>
        </w:tc>
      </w:tr>
      <w:tr>
        <w:tc>
          <w:tcPr>
            <w:tcW w:type="dxa" w:w="124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Break-survival confounds internalization with household capacity (Miller-McLemore)</w:t>
            </w:r>
          </w:p>
        </w:tc>
        <w:tc>
          <w:tcPr>
            <w:tcW w:type="dxa" w:w="67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conflict dissolved</w:t>
            </w:r>
          </w:p>
        </w:tc>
        <w:tc>
          <w:tcPr>
            <w:tcW w:type="dxa" w:w="744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Stage A was right about the instrument; she is right about the wording of the condition attached to it. Her fix strengthens the condition.</w:t>
            </w:r>
          </w:p>
        </w:tc>
      </w:tr>
      <w:tr>
        <w:tc>
          <w:tcPr>
            <w:tcW w:type="dxa" w:w="124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interpretive task is not performed (Osmer)</w:t>
            </w:r>
          </w:p>
        </w:tc>
        <w:tc>
          <w:tcPr>
            <w:tcW w:type="dxa" w:w="67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persona overreach</w:t>
            </w:r>
          </w:p>
        </w:tc>
        <w:tc>
          <w:tcPr>
            <w:tcW w:type="dxa" w:w="744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paper self-identifies as a field report and never adopts the four tasks. Surviving core: the missing developmental and family-systems warrant, plus a one-paragraph genre map.</w:t>
            </w:r>
          </w:p>
        </w:tc>
      </w:tr>
      <w:tr>
        <w:tc>
          <w:tcPr>
            <w:tcW w:type="dxa" w:w="124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observing team marks by consensus (Hall)</w:t>
            </w:r>
          </w:p>
        </w:tc>
        <w:tc>
          <w:tcPr>
            <w:tcW w:type="dxa" w:w="67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corrected upward</w:t>
            </w:r>
          </w:p>
        </w:tc>
        <w:tc>
          <w:tcPr>
            <w:tcW w:type="dxa" w:w="744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Worse than filed: the Lead Companion alone fills the page and the call assents.</w:t>
            </w:r>
          </w:p>
        </w:tc>
      </w:tr>
    </w:tbl>
    <w:p>
      <w:pPr>
        <w:spacing w:after="80"/>
      </w:pPr>
      <w:r>
        <w:t xml:space="preserve"/>
      </w:r>
    </w:p>
    <w:p>
      <w:pPr>
        <w:pBdr>
          <w:bottom w:val="single" w:color="999999" w:sz="6" w:space="4"/>
        </w:pBdr>
        <w:spacing w:after="100" w:before="100"/>
      </w:pPr>
      <w:r>
        <w:t xml:space="preserve"/>
      </w:r>
    </w:p>
    <w:p>
      <w:pPr>
        <w:pStyle w:val="Heading2"/>
      </w:pPr>
      <w:r>
        <w:t xml:space="preserve">3. Tier 1 — free, and do them regardless</w:t>
      </w:r>
    </w:p>
    <w:p>
      <w:pPr>
        <w:spacing w:after="140"/>
      </w:pPr>
      <w:r>
        <w:t xml:space="preserve">Four changes cost nothing, break no constraint, need no outsider, and repair the most-cited weakness in both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7"/>
        <w:gridCol w:w="7960"/>
        <w:gridCol w:w="743"/>
      </w:tblGrid>
      <w:tr>
        <w:trPr>
          <w:tblHeader/>
        </w:trPr>
        <w:tc>
          <w:tcPr>
            <w:tcW w:type="dxa" w:w="657"/>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w:t>
            </w:r>
          </w:p>
        </w:tc>
        <w:tc>
          <w:tcPr>
            <w:tcW w:type="dxa" w:w="79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Change</w:t>
            </w:r>
          </w:p>
        </w:tc>
        <w:tc>
          <w:tcPr>
            <w:tcW w:type="dxa" w:w="743"/>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Cost</w:t>
            </w:r>
          </w:p>
        </w:tc>
      </w:tr>
      <w:tr>
        <w:tc>
          <w:tcPr>
            <w:tcW w:type="dxa" w:w="65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1.1</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Report the raw weekly seen / not-yet / no-occasion series</w:t>
            </w:r>
            <w:r>
              <w:t xml:space="preserve"> alongside the ratcheted rung. Keep the ratchet for its pastoral purpose; let the raw series be the analytic record. The data already exists by construction, so this is a reporting decision and nothing else.</w:t>
            </w:r>
          </w:p>
        </w:tc>
        <w:tc>
          <w:tcPr>
            <w:tcW w:type="dxa" w:w="74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zero</w:t>
            </w:r>
          </w:p>
        </w:tc>
      </w:tr>
      <w:tr>
        <w:tc>
          <w:tcPr>
            <w:tcW w:type="dxa" w:w="65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1.2</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Mark the three signs independently before the Thursday Call opens</w:t>
            </w:r>
            <w:r>
              <w:t xml:space="preserve">, then discuss disagreements rather than manufacture agreement. Corrects the real defect: one person currently fills the page and the call ratifies it.</w:t>
            </w:r>
          </w:p>
        </w:tc>
        <w:tc>
          <w:tcPr>
            <w:tcW w:type="dxa" w:w="74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~90 seconds per Companion</w:t>
            </w:r>
          </w:p>
        </w:tc>
      </w:tr>
      <w:tr>
        <w:tc>
          <w:tcPr>
            <w:tcW w:type="dxa" w:w="65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1.3</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Do not read the accumulated sheets until June.</w:t>
            </w:r>
            <w:r>
              <w:t xml:space="preserve"> The strongest free move proposed across both stages: it blinds the reader of the series to the trend while it is still being produced.</w:t>
            </w:r>
          </w:p>
        </w:tc>
        <w:tc>
          <w:tcPr>
            <w:tcW w:type="dxa" w:w="74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zero</w:t>
            </w:r>
          </w:p>
        </w:tc>
      </w:tr>
      <w:tr>
        <w:tc>
          <w:tcPr>
            <w:tcW w:type="dxa" w:w="65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1.4</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Re-mark the existing calibration vignettes once a quarter.</w:t>
            </w:r>
            <w:r>
              <w:t xml:space="preserve"> Intra-rater stability check, no outsider, no transcripts, fixed stimuli already written.</w:t>
            </w:r>
          </w:p>
        </w:tc>
        <w:tc>
          <w:tcPr>
            <w:tcW w:type="dxa" w:w="74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~10 minutes per quarter</w:t>
            </w:r>
          </w:p>
        </w:tc>
      </w:tr>
    </w:tbl>
    <w:p>
      <w:pPr>
        <w:spacing w:after="80"/>
      </w:pPr>
      <w:r>
        <w:t xml:space="preserve"/>
      </w:r>
    </w:p>
    <w:p>
      <w:pPr>
        <w:pBdr>
          <w:bottom w:val="single" w:color="999999" w:sz="6" w:space="4"/>
        </w:pBdr>
        <w:spacing w:after="100" w:before="100"/>
      </w:pPr>
      <w:r>
        <w:t xml:space="preserve"/>
      </w:r>
    </w:p>
    <w:p>
      <w:pPr>
        <w:pStyle w:val="Heading2"/>
      </w:pPr>
      <w:r>
        <w:t xml:space="preserve">4. Tier 2 — the falsifiability repair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8"/>
        <w:gridCol w:w="7438"/>
        <w:gridCol w:w="686"/>
        <w:gridCol w:w="618"/>
      </w:tblGrid>
      <w:tr>
        <w:trPr>
          <w:tblHeader/>
        </w:trPr>
        <w:tc>
          <w:tcPr>
            <w:tcW w:type="dxa" w:w="618"/>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w:t>
            </w:r>
          </w:p>
        </w:tc>
        <w:tc>
          <w:tcPr>
            <w:tcW w:type="dxa" w:w="7438"/>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Item</w:t>
            </w:r>
          </w:p>
        </w:tc>
        <w:tc>
          <w:tcPr>
            <w:tcW w:type="dxa" w:w="686"/>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Source</w:t>
            </w:r>
          </w:p>
        </w:tc>
        <w:tc>
          <w:tcPr>
            <w:tcW w:type="dxa" w:w="618"/>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Sev</w:t>
            </w:r>
          </w:p>
        </w:tc>
      </w:tr>
      <w:tr>
        <w:tc>
          <w:tcPr>
            <w:tcW w:type="dxa" w:w="61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2.1</w:t>
            </w:r>
          </w:p>
        </w:tc>
        <w:tc>
          <w:tcPr>
            <w:tcW w:type="dxa" w:w="743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No criteria for interpreting findings.</w:t>
            </w:r>
            <w:r>
              <w:t xml:space="preserve"> "Essentially no discrepancies," "consistently require adult rescue," "flat," and "migrate" are undefined, so every condition is settled in May by the person who built the instruments. Operational definitions for cost, adult rescue, truly settled, and a rule distinguishing </w:t>
            </w:r>
            <w:r>
              <w:rPr>
                <w:i/>
                <w:iCs/>
              </w:rPr>
              <w:t xml:space="preserve">no occasion</w:t>
            </w:r>
            <w:r>
              <w:t xml:space="preserve"> from </w:t>
            </w:r>
            <w:r>
              <w:rPr>
                <w:i/>
                <w:iCs/>
              </w:rPr>
              <w:t xml:space="preserve">not yet</w:t>
            </w:r>
            <w:r>
              <w:t xml:space="preserve">.</w:t>
            </w:r>
          </w:p>
        </w:tc>
        <w:tc>
          <w:tcPr>
            <w:tcW w:type="dxa" w:w="68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Yin F4 (absorbs Hall F5), Yin F12</w:t>
            </w:r>
          </w:p>
        </w:tc>
        <w:tc>
          <w:tcPr>
            <w:tcW w:type="dxa" w:w="61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HIGH</w:t>
            </w:r>
          </w:p>
        </w:tc>
      </w:tr>
      <w:tr>
        <w:tc>
          <w:tcPr>
            <w:tcW w:type="dxa" w:w="61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2.2</w:t>
            </w:r>
          </w:p>
        </w:tc>
        <w:tc>
          <w:tcPr>
            <w:tcW w:type="dxa" w:w="743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Nothing tests adherence.</w:t>
            </w:r>
            <w:r>
              <w:t xml:space="preserve"> Every condition measures effects; none asks whether the covenant held. The only novel category in the panel. Patton's example is the right one: </w:t>
            </w:r>
            <w:r>
              <w:rPr>
                <w:i/>
                <w:iCs/>
              </w:rPr>
              <w:t xml:space="preserve">the weep test never once stopped anything.</w:t>
            </w:r>
          </w:p>
        </w:tc>
        <w:tc>
          <w:tcPr>
            <w:tcW w:type="dxa" w:w="68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Patton F5</w:t>
            </w:r>
          </w:p>
        </w:tc>
        <w:tc>
          <w:tcPr>
            <w:tcW w:type="dxa" w:w="61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HIGH</w:t>
            </w:r>
          </w:p>
        </w:tc>
      </w:tr>
      <w:tr>
        <w:tc>
          <w:tcPr>
            <w:tcW w:type="dxa" w:w="61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2.3</w:t>
            </w:r>
          </w:p>
        </w:tc>
        <w:tc>
          <w:tcPr>
            <w:tcW w:type="dxa" w:w="743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Split a frozen observation protocol from an adaptive content layer</w:t>
            </w:r>
            <w:r>
              <w:t xml:space="preserve">, and name the whole </w:t>
            </w:r>
            <w:r>
              <w:rPr>
                <w:i/>
                <w:iCs/>
              </w:rPr>
              <w:t xml:space="preserve">developmental evaluation of a curriculum under a preregistered observation protocol.</w:t>
            </w:r>
            <w:r>
              <w:t xml:space="preserve"> Resolves the action-research versus preregistration tension both stages flagged. A condition written about a curriculum that then changed must be reported </w:t>
            </w:r>
            <w:r>
              <w:rPr>
                <w:b/>
                <w:bCs/>
              </w:rPr>
              <w:t xml:space="preserve">untested</w:t>
            </w:r>
            <w:r>
              <w:t xml:space="preserve">, not passed.</w:t>
            </w:r>
          </w:p>
        </w:tc>
        <w:tc>
          <w:tcPr>
            <w:tcW w:type="dxa" w:w="68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Patton F1, F2</w:t>
            </w:r>
          </w:p>
        </w:tc>
        <w:tc>
          <w:tcPr>
            <w:tcW w:type="dxa" w:w="61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HIGH</w:t>
            </w:r>
          </w:p>
        </w:tc>
      </w:tr>
      <w:tr>
        <w:tc>
          <w:tcPr>
            <w:tcW w:type="dxa" w:w="61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2.4</w:t>
            </w:r>
          </w:p>
        </w:tc>
        <w:tc>
          <w:tcPr>
            <w:tcW w:type="dxa" w:w="743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No attendance or dose record</w:t>
            </w:r>
            <w:r>
              <w:t xml:space="preserve">, while condition [56] conditions itself on "a cohort that attends faithfully." A null result cannot distinguish did-not-work from did-not-run. Internal inconsistency, not a disciplinary import.</w:t>
            </w:r>
          </w:p>
        </w:tc>
        <w:tc>
          <w:tcPr>
            <w:tcW w:type="dxa" w:w="68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Patton F3</w:t>
            </w:r>
          </w:p>
        </w:tc>
        <w:tc>
          <w:tcPr>
            <w:tcW w:type="dxa" w:w="61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HIGH</w:t>
            </w:r>
          </w:p>
        </w:tc>
      </w:tr>
      <w:tr>
        <w:tc>
          <w:tcPr>
            <w:tcW w:type="dxa" w:w="61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2.5</w:t>
            </w:r>
          </w:p>
        </w:tc>
        <w:tc>
          <w:tcPr>
            <w:tcW w:type="dxa" w:w="743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A decisions log</w:t>
            </w:r>
            <w:r>
              <w:t xml:space="preserve"> — five fields, on the Thursday Call as a short fourth move, never on the one-page sheet. Without it, a year of adaptive readings is uninterpretable afterward, including by the author.</w:t>
            </w:r>
          </w:p>
        </w:tc>
        <w:tc>
          <w:tcPr>
            <w:tcW w:type="dxa" w:w="68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Patton F10 + Yin F9</w:t>
            </w:r>
          </w:p>
        </w:tc>
        <w:tc>
          <w:tcPr>
            <w:tcW w:type="dxa" w:w="61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HIGH</w:t>
            </w:r>
          </w:p>
        </w:tc>
      </w:tr>
    </w:tbl>
    <w:p>
      <w:pPr>
        <w:spacing w:after="80"/>
      </w:pPr>
      <w:r>
        <w:t xml:space="preserve"/>
      </w:r>
    </w:p>
    <w:p>
      <w:pPr>
        <w:pBdr>
          <w:bottom w:val="single" w:color="999999" w:sz="6" w:space="4"/>
        </w:pBdr>
        <w:spacing w:after="100" w:before="100"/>
      </w:pPr>
      <w:r>
        <w:t xml:space="preserve"/>
      </w:r>
    </w:p>
    <w:p>
      <w:pPr>
        <w:pStyle w:val="Heading2"/>
      </w:pPr>
      <w:r>
        <w:t xml:space="preserve">5. Tier 3 — inference, evidence, and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7"/>
        <w:gridCol w:w="7538"/>
        <w:gridCol w:w="607"/>
        <w:gridCol w:w="608"/>
      </w:tblGrid>
      <w:tr>
        <w:trPr>
          <w:tblHeader/>
        </w:trPr>
        <w:tc>
          <w:tcPr>
            <w:tcW w:type="dxa" w:w="607"/>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w:t>
            </w:r>
          </w:p>
        </w:tc>
        <w:tc>
          <w:tcPr>
            <w:tcW w:type="dxa" w:w="7538"/>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Item</w:t>
            </w:r>
          </w:p>
        </w:tc>
        <w:tc>
          <w:tcPr>
            <w:tcW w:type="dxa" w:w="607"/>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Source</w:t>
            </w:r>
          </w:p>
        </w:tc>
        <w:tc>
          <w:tcPr>
            <w:tcW w:type="dxa" w:w="608"/>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Sev</w:t>
            </w:r>
          </w:p>
        </w:tc>
      </w:tr>
      <w:tr>
        <w:tc>
          <w:tcPr>
            <w:tcW w:type="dxa" w:w="60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3.1</w:t>
            </w:r>
          </w:p>
        </w:tc>
        <w:tc>
          <w:tcPr>
            <w:tcW w:type="dxa" w:w="753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The individual-level claim has neither an instrument nor a legitimate inference form.</w:t>
            </w:r>
            <w:r>
              <w:t xml:space="preserve"> Two complementary arguments, one recommendation. Fourth and fifth reviewers to reach this sentence across the two stages.</w:t>
            </w:r>
          </w:p>
        </w:tc>
        <w:tc>
          <w:tcPr>
            <w:tcW w:type="dxa" w:w="60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Hall F4 + Yin F3</w:t>
            </w:r>
          </w:p>
        </w:tc>
        <w:tc>
          <w:tcPr>
            <w:tcW w:type="dxa" w:w="60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HIGH</w:t>
            </w:r>
          </w:p>
        </w:tc>
      </w:tr>
      <w:tr>
        <w:tc>
          <w:tcPr>
            <w:tcW w:type="dxa" w:w="60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3.2</w:t>
            </w:r>
          </w:p>
        </w:tc>
        <w:tc>
          <w:tcPr>
            <w:tcW w:type="dxa" w:w="753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No chain of evidence.</w:t>
            </w:r>
            <w:r>
              <w:t xml:space="preserve"> The sheet stores verdicts, not observations. Best value-per-cost in the panel: split the sign line into raw mark, ratcheted rung, and an eight-word occasion clause — which fixes the chain and the ratchet together.</w:t>
            </w:r>
          </w:p>
        </w:tc>
        <w:tc>
          <w:tcPr>
            <w:tcW w:type="dxa" w:w="60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Yin F8 + F14</w:t>
            </w:r>
          </w:p>
        </w:tc>
        <w:tc>
          <w:tcPr>
            <w:tcW w:type="dxa" w:w="60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HIGH</w:t>
            </w:r>
          </w:p>
        </w:tc>
      </w:tr>
      <w:tr>
        <w:tc>
          <w:tcPr>
            <w:tcW w:type="dxa" w:w="60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3.3</w:t>
            </w:r>
          </w:p>
        </w:tc>
        <w:tc>
          <w:tcPr>
            <w:tcW w:type="dxa" w:w="753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Rival explanations are nowhere addressed</w:t>
            </w:r>
            <w:r>
              <w:t xml:space="preserve"> — maturation, self-selection, the founder, novelty, seasonality. Two cheap discriminating tests: </w:t>
            </w:r>
            <w:r>
              <w:rPr>
                <w:b/>
                <w:bCs/>
              </w:rPr>
              <w:t xml:space="preserve">two founder-absent ordinary Wednesdays</w:t>
            </w:r>
            <w:r>
              <w:t xml:space="preserve"> (the teen-led nights do </w:t>
            </w:r>
            <w:r>
              <w:rPr>
                <w:i/>
                <w:iCs/>
              </w:rPr>
              <w:t xml:space="preserve">not</w:t>
            </w:r>
            <w:r>
              <w:t xml:space="preserve"> serve, since they run with a full team present) and </w:t>
            </w:r>
            <w:r>
              <w:rPr>
                <w:b/>
                <w:bCs/>
              </w:rPr>
              <w:t xml:space="preserve">one unsigned card eight weeks after the year ends</w:t>
            </w:r>
            <w:r>
              <w:t xml:space="preserve">, the only measure anyone proposed that asks whether the effect outlasts the program.</w:t>
            </w:r>
          </w:p>
        </w:tc>
        <w:tc>
          <w:tcPr>
            <w:tcW w:type="dxa" w:w="60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Yin F5, F6</w:t>
            </w:r>
          </w:p>
        </w:tc>
        <w:tc>
          <w:tcPr>
            <w:tcW w:type="dxa" w:w="60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HIGH</w:t>
            </w:r>
          </w:p>
        </w:tc>
      </w:tr>
      <w:tr>
        <w:tc>
          <w:tcPr>
            <w:tcW w:type="dxa" w:w="60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3.4</w:t>
            </w:r>
          </w:p>
        </w:tc>
        <w:tc>
          <w:tcPr>
            <w:tcW w:type="dxa" w:w="753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Three sources, one perceiver.</w:t>
            </w:r>
            <w:r>
              <w:t xml:space="preserve"> A construct-validity problem distinct from the reliability limitation the paper already names.</w:t>
            </w:r>
          </w:p>
        </w:tc>
        <w:tc>
          <w:tcPr>
            <w:tcW w:type="dxa" w:w="60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Yin F7</w:t>
            </w:r>
          </w:p>
        </w:tc>
        <w:tc>
          <w:tcPr>
            <w:tcW w:type="dxa" w:w="60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HIGH</w:t>
            </w:r>
          </w:p>
        </w:tc>
      </w:tr>
      <w:tr>
        <w:tc>
          <w:tcPr>
            <w:tcW w:type="dxa" w:w="60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3.5</w:t>
            </w:r>
          </w:p>
        </w:tc>
        <w:tc>
          <w:tcPr>
            <w:tcW w:type="dxa" w:w="753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The de-identified room-level ledger.</w:t>
            </w:r>
            <w:r>
              <w:t xml:space="preserve"> The covenant is silent on it, not opposed, and silence reads as prohibition to whoever inherits the document. Amend explicitly: content sealed, ledger publishable. </w:t>
            </w:r>
            <w:r>
              <w:rPr>
                <w:b/>
                <w:bCs/>
              </w:rPr>
              <w:t xml:space="preserve">The decisive argument the reviewer missed: the paper already promises this</w:t>
            </w:r>
            <w:r>
              <w:t xml:space="preserve"> — "the enrolled number will be reported," "here is everything it recorded against the predictions it published." Guardrail: room-level rows only, no per-family rows, school unnamed.</w:t>
            </w:r>
          </w:p>
        </w:tc>
        <w:tc>
          <w:tcPr>
            <w:tcW w:type="dxa" w:w="60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Yin, refuter-strengthened</w:t>
            </w:r>
          </w:p>
        </w:tc>
        <w:tc>
          <w:tcPr>
            <w:tcW w:type="dxa" w:w="60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MEDIUM</w:t>
            </w:r>
          </w:p>
        </w:tc>
      </w:tr>
      <w:tr>
        <w:tc>
          <w:tcPr>
            <w:tcW w:type="dxa" w:w="60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3.6</w:t>
            </w:r>
          </w:p>
        </w:tc>
        <w:tc>
          <w:tcPr>
            <w:tcW w:type="dxa" w:w="753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Selection filters are named as a fact and never as a mechanism.</w:t>
            </w:r>
            <w:r>
              <w:t xml:space="preserve"> Wednesday at four o'clock is the sharpest unmentioned filter in the design.</w:t>
            </w:r>
          </w:p>
        </w:tc>
        <w:tc>
          <w:tcPr>
            <w:tcW w:type="dxa" w:w="60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MM F13</w:t>
            </w:r>
          </w:p>
        </w:tc>
        <w:tc>
          <w:tcPr>
            <w:tcW w:type="dxa" w:w="60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MED-HIGH</w:t>
            </w:r>
          </w:p>
        </w:tc>
      </w:tr>
      <w:tr>
        <w:tc>
          <w:tcPr>
            <w:tcW w:type="dxa" w:w="60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3.7</w:t>
            </w:r>
          </w:p>
        </w:tc>
        <w:tc>
          <w:tcPr>
            <w:tcW w:type="dxa" w:w="753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The prototype family</w:t>
            </w:r>
            <w:r>
              <w:t xml:space="preserve"> — eighteen months, n of one — sits inside the argument and outside the case, possibly inside the denominator. Disclose the relationship; do not write it up (re-identifiable).</w:t>
            </w:r>
          </w:p>
        </w:tc>
        <w:tc>
          <w:tcPr>
            <w:tcW w:type="dxa" w:w="60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MM F15</w:t>
            </w:r>
          </w:p>
        </w:tc>
        <w:tc>
          <w:tcPr>
            <w:tcW w:type="dxa" w:w="60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MED-HIGH</w:t>
            </w:r>
          </w:p>
        </w:tc>
      </w:tr>
      <w:tr>
        <w:tc>
          <w:tcPr>
            <w:tcW w:type="dxa" w:w="60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3.8</w:t>
            </w:r>
          </w:p>
        </w:tc>
        <w:tc>
          <w:tcPr>
            <w:tcW w:type="dxa" w:w="753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Response-shift bias</w:t>
            </w:r>
            <w:r>
              <w:t xml:space="preserve"> will likely invert the pre/post finding. Remedy is a retrospective pre-test column on the page already being handed out.</w:t>
            </w:r>
          </w:p>
        </w:tc>
        <w:tc>
          <w:tcPr>
            <w:tcW w:type="dxa" w:w="60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Hall F11</w:t>
            </w:r>
          </w:p>
        </w:tc>
        <w:tc>
          <w:tcPr>
            <w:tcW w:type="dxa" w:w="60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MEDIUM</w:t>
            </w:r>
          </w:p>
        </w:tc>
      </w:tr>
      <w:tr>
        <w:tc>
          <w:tcPr>
            <w:tcW w:type="dxa" w:w="60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3.9</w:t>
            </w:r>
          </w:p>
        </w:tc>
        <w:tc>
          <w:tcPr>
            <w:tcW w:type="dxa" w:w="753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Sign frequency is confounded with the content calendar.</w:t>
            </w:r>
            <w:r>
              <w:t xml:space="preserve"> A scheduled/unscheduled flag separates liturgy-produced occasions from spontaneous ones, and combined with an ordering condition gives the thesis rival its only real test.</w:t>
            </w:r>
          </w:p>
        </w:tc>
        <w:tc>
          <w:tcPr>
            <w:tcW w:type="dxa" w:w="60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Hall F7</w:t>
            </w:r>
          </w:p>
        </w:tc>
        <w:tc>
          <w:tcPr>
            <w:tcW w:type="dxa" w:w="60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MED-HIGH</w:t>
            </w:r>
          </w:p>
        </w:tc>
      </w:tr>
    </w:tbl>
    <w:p>
      <w:pPr>
        <w:spacing w:after="80"/>
      </w:pPr>
      <w:r>
        <w:t xml:space="preserve"/>
      </w:r>
    </w:p>
    <w:p>
      <w:pPr>
        <w:pBdr>
          <w:bottom w:val="single" w:color="999999" w:sz="6" w:space="4"/>
        </w:pBdr>
        <w:spacing w:after="100" w:before="100"/>
      </w:pPr>
      <w:r>
        <w:t xml:space="preserve"/>
      </w:r>
    </w:p>
    <w:p>
      <w:pPr>
        <w:pStyle w:val="Heading2"/>
      </w:pPr>
      <w:r>
        <w:t xml:space="preserve">6. Tier 4 — theological and practical-theological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3"/>
        <w:gridCol w:w="6281"/>
        <w:gridCol w:w="1812"/>
        <w:gridCol w:w="634"/>
      </w:tblGrid>
      <w:tr>
        <w:trPr>
          <w:tblHeader/>
        </w:trPr>
        <w:tc>
          <w:tcPr>
            <w:tcW w:type="dxa" w:w="633"/>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w:t>
            </w:r>
          </w:p>
        </w:tc>
        <w:tc>
          <w:tcPr>
            <w:tcW w:type="dxa" w:w="6281"/>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Item</w:t>
            </w:r>
          </w:p>
        </w:tc>
        <w:tc>
          <w:tcPr>
            <w:tcW w:type="dxa" w:w="1812"/>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Source</w:t>
            </w:r>
          </w:p>
        </w:tc>
        <w:tc>
          <w:tcPr>
            <w:tcW w:type="dxa" w:w="634"/>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Sev</w:t>
            </w:r>
          </w:p>
        </w:tc>
      </w:tr>
      <w:tr>
        <w:tc>
          <w:tcPr>
            <w:tcW w:type="dxa" w:w="63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4.1</w:t>
            </w:r>
          </w:p>
        </w:tc>
        <w:tc>
          <w:tcPr>
            <w:tcW w:type="dxa" w:w="628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A minor's assent is absorbed into a parental yes</w:t>
            </w:r>
            <w:r>
              <w:t xml:space="preserve"> while individuals are level-tracked. The consent unit and the measurement unit do not match.</w:t>
            </w:r>
          </w:p>
        </w:tc>
        <w:tc>
          <w:tcPr>
            <w:tcW w:type="dxa" w:w="181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MM F2</w:t>
            </w:r>
          </w:p>
        </w:tc>
        <w:tc>
          <w:tcPr>
            <w:tcW w:type="dxa" w:w="63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HIGH</w:t>
            </w:r>
          </w:p>
        </w:tc>
      </w:tr>
      <w:tr>
        <w:tc>
          <w:tcPr>
            <w:tcW w:type="dxa" w:w="63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4.2</w:t>
            </w:r>
          </w:p>
        </w:tc>
        <w:tc>
          <w:tcPr>
            <w:tcW w:type="dxa" w:w="628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Participants are never told a named longitudinal written record exists about them.</w:t>
            </w:r>
            <w:r>
              <w:t xml:space="preserve"> The paper's permission-is-for-pages-never-for-care line is drawn from the researcher's side of the table.</w:t>
            </w:r>
          </w:p>
        </w:tc>
        <w:tc>
          <w:tcPr>
            <w:tcW w:type="dxa" w:w="181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MM F3</w:t>
            </w:r>
          </w:p>
        </w:tc>
        <w:tc>
          <w:tcPr>
            <w:tcW w:type="dxa" w:w="63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HIGH</w:t>
            </w:r>
          </w:p>
        </w:tc>
      </w:tr>
      <w:tr>
        <w:tc>
          <w:tcPr>
            <w:tcW w:type="dxa" w:w="63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4.3</w:t>
            </w:r>
          </w:p>
        </w:tc>
        <w:tc>
          <w:tcPr>
            <w:tcW w:type="dxa" w:w="628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Social penetration's warrant does not transfer.</w:t>
            </w:r>
            <w:r>
              <w:t xml:space="preserve"> It was built on symmetrical, exit-capable peer dyads; a parent and their own minor child is neither, and parents-first is the design's central rule.</w:t>
            </w:r>
          </w:p>
        </w:tc>
        <w:tc>
          <w:tcPr>
            <w:tcW w:type="dxa" w:w="181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MM F5</w:t>
            </w:r>
          </w:p>
        </w:tc>
        <w:tc>
          <w:tcPr>
            <w:tcW w:type="dxa" w:w="63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HIGH</w:t>
            </w:r>
          </w:p>
        </w:tc>
      </w:tr>
      <w:tr>
        <w:tc>
          <w:tcPr>
            <w:tcW w:type="dxa" w:w="63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4.4</w:t>
            </w:r>
          </w:p>
        </w:tc>
        <w:tc>
          <w:tcPr>
            <w:tcW w:type="dxa" w:w="628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The insider half of theological action research is quoted and left unfilled.</w:t>
            </w:r>
            <w:r>
              <w:t xml:space="preserve"> Both adopted corrections are outsider-side and team-side; the room never contests the account written about it.</w:t>
            </w:r>
          </w:p>
        </w:tc>
        <w:tc>
          <w:tcPr>
            <w:tcW w:type="dxa" w:w="181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MM F9 + F18, Osmer 11 (one cost ladder, not three demands)</w:t>
            </w:r>
          </w:p>
        </w:tc>
        <w:tc>
          <w:tcPr>
            <w:tcW w:type="dxa" w:w="63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MED-HIGH</w:t>
            </w:r>
          </w:p>
        </w:tc>
      </w:tr>
      <w:tr>
        <w:tc>
          <w:tcPr>
            <w:tcW w:type="dxa" w:w="63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4.5</w:t>
            </w:r>
          </w:p>
        </w:tc>
        <w:tc>
          <w:tcPr>
            <w:tcW w:type="dxa" w:w="628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No content of hearing is recorded anywhere</w:t>
            </w:r>
            <w:r>
              <w:t xml:space="preserve"> — only its shape. Verified true. Remedy needs two repairs: exclude third-party identifiers, and land it after the disclosure clause in 4.2.</w:t>
            </w:r>
          </w:p>
        </w:tc>
        <w:tc>
          <w:tcPr>
            <w:tcW w:type="dxa" w:w="181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MM F1</w:t>
            </w:r>
          </w:p>
        </w:tc>
        <w:tc>
          <w:tcPr>
            <w:tcW w:type="dxa" w:w="63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MED-HIGH</w:t>
            </w:r>
          </w:p>
        </w:tc>
      </w:tr>
      <w:tr>
        <w:tc>
          <w:tcPr>
            <w:tcW w:type="dxa" w:w="63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4.6</w:t>
            </w:r>
          </w:p>
        </w:tc>
        <w:tc>
          <w:tcPr>
            <w:tcW w:type="dxa" w:w="628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No outward-facing observation</w:t>
            </w:r>
            <w:r>
              <w:t xml:space="preserve"> despite the curriculum's own Going Out arc, and the closing crescendo puts a sociological criterion where a theological one belongs. Testable on the paper's own terms.</w:t>
            </w:r>
          </w:p>
        </w:tc>
        <w:tc>
          <w:tcPr>
            <w:tcW w:type="dxa" w:w="181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narrowed convergence core</w:t>
            </w:r>
          </w:p>
        </w:tc>
        <w:tc>
          <w:tcPr>
            <w:tcW w:type="dxa" w:w="63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MED-HIGH</w:t>
            </w:r>
          </w:p>
        </w:tc>
      </w:tr>
      <w:tr>
        <w:tc>
          <w:tcPr>
            <w:tcW w:type="dxa" w:w="63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4.7</w:t>
            </w:r>
          </w:p>
        </w:tc>
        <w:tc>
          <w:tcPr>
            <w:tcW w:type="dxa" w:w="628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The outside reader has no feedback loop and no counterpart statement</w:t>
            </w:r>
            <w:r>
              <w:t xml:space="preserve">, is author-chosen, sees one announced session, and is recorded rather than published.</w:t>
            </w:r>
          </w:p>
        </w:tc>
        <w:tc>
          <w:tcPr>
            <w:tcW w:type="dxa" w:w="181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Osmer 12, MM F19</w:t>
            </w:r>
          </w:p>
        </w:tc>
        <w:tc>
          <w:tcPr>
            <w:tcW w:type="dxa" w:w="63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MED-HIGH</w:t>
            </w:r>
          </w:p>
        </w:tc>
      </w:tr>
      <w:tr>
        <w:tc>
          <w:tcPr>
            <w:tcW w:type="dxa" w:w="63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4.8</w:t>
            </w:r>
          </w:p>
        </w:tc>
        <w:tc>
          <w:tcPr>
            <w:tcW w:type="dxa" w:w="628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No ecclesial location.</w:t>
            </w:r>
            <w:r>
              <w:t xml:space="preserve"> The paper sends and commissions without naming a receiving body, and the families' own congregations are absent from both the ecology and the ethics.</w:t>
            </w:r>
          </w:p>
        </w:tc>
        <w:tc>
          <w:tcPr>
            <w:tcW w:type="dxa" w:w="181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Osmer 10, MM F16</w:t>
            </w:r>
          </w:p>
        </w:tc>
        <w:tc>
          <w:tcPr>
            <w:tcW w:type="dxa" w:w="63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MEDIUM</w:t>
            </w:r>
          </w:p>
        </w:tc>
      </w:tr>
      <w:tr>
        <w:tc>
          <w:tcPr>
            <w:tcW w:type="dxa" w:w="63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4.9</w:t>
            </w:r>
          </w:p>
        </w:tc>
        <w:tc>
          <w:tcPr>
            <w:tcW w:type="dxa" w:w="628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One pneumatological sentence does causal work it cannot bear.</w:t>
            </w:r>
          </w:p>
        </w:tc>
        <w:tc>
          <w:tcPr>
            <w:tcW w:type="dxa" w:w="181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Osmer 9</w:t>
            </w:r>
          </w:p>
        </w:tc>
        <w:tc>
          <w:tcPr>
            <w:tcW w:type="dxa" w:w="63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MEDIUM</w:t>
            </w:r>
          </w:p>
        </w:tc>
      </w:tr>
      <w:tr>
        <w:tc>
          <w:tcPr>
            <w:tcW w:type="dxa" w:w="63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4.10</w:t>
            </w:r>
          </w:p>
        </w:tc>
        <w:tc>
          <w:tcPr>
            <w:tcW w:type="dxa" w:w="628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Volunteer-only teen leadership</w:t>
            </w:r>
            <w:r>
              <w:t xml:space="preserve"> makes the leadership-absence test nearly unfalsifiable.</w:t>
            </w:r>
          </w:p>
        </w:tc>
        <w:tc>
          <w:tcPr>
            <w:tcW w:type="dxa" w:w="181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Osmer 13</w:t>
            </w:r>
          </w:p>
        </w:tc>
        <w:tc>
          <w:tcPr>
            <w:tcW w:type="dxa" w:w="63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MEDIUM</w:t>
            </w:r>
          </w:p>
        </w:tc>
      </w:tr>
    </w:tbl>
    <w:p>
      <w:pPr>
        <w:spacing w:after="80"/>
      </w:pPr>
      <w:r>
        <w:t xml:space="preserve"/>
      </w:r>
    </w:p>
    <w:p>
      <w:pPr>
        <w:pBdr>
          <w:bottom w:val="single" w:color="999999" w:sz="6" w:space="4"/>
        </w:pBdr>
        <w:spacing w:after="100" w:before="100"/>
      </w:pPr>
      <w:r>
        <w:t xml:space="preserve"/>
      </w:r>
    </w:p>
    <w:p>
      <w:pPr>
        <w:pStyle w:val="Heading2"/>
      </w:pPr>
      <w:r>
        <w:t xml:space="preserve">7. Safeguarding — a separate clock, before September 2</w:t>
      </w:r>
    </w:p>
    <w:p>
      <w:pPr>
        <w:spacing w:after="140"/>
      </w:pPr>
      <w:r>
        <w:t xml:space="preserve">These are adjudicated on different grounds from everything above and should not queue behind the manuscript.</w:t>
      </w:r>
    </w:p>
    <w:p>
      <w:pPr>
        <w:spacing w:after="140"/>
      </w:pPr>
      <w:r>
        <w:rPr>
          <w:b/>
          <w:bCs/>
        </w:rPr>
        <w:t xml:space="preserve">S1 — No participant-initiated route, and none announced. HIGH, upheld.</w:t>
      </w:r>
      <w:r>
        <w:t xml:space="preserve"> Two reviewers argued this against the never-divide-a-family constraint, both drawing the same distinction: the rule forbids a </w:t>
      </w:r>
      <w:r>
        <w:rPr>
          <w:i/>
          <w:iCs/>
        </w:rPr>
        <w:t xml:space="preserve">division</w:t>
      </w:r>
      <w:r>
        <w:t xml:space="preserve">, not a </w:t>
      </w:r>
      <w:r>
        <w:rPr>
          <w:i/>
          <w:iCs/>
        </w:rPr>
        <w:t xml:space="preserve">door</w:t>
      </w:r>
      <w:r>
        <w:t xml:space="preserve">. The handbook's machinery is real and mitigates the response side, but is </w:t>
      </w:r>
      <w:r>
        <w:rPr>
          <w:b/>
          <w:bCs/>
        </w:rPr>
        <w:t xml:space="preserve">entirely observation-triggered</w:t>
      </w:r>
      <w:r>
        <w:t xml:space="preserve"> and cannot by construction reach a young person who shows nothing — which is the adaptive behavior in exactly the case at issue, a teenager whose cost is at home. The two-adult rule and mandated reporting govern a conversation; they are not a route to one. Remedy is a </w:t>
      </w:r>
      <w:r>
        <w:rPr>
          <w:b/>
          <w:bCs/>
        </w:rPr>
        <w:t xml:space="preserve">named outside adult</w:t>
      </w:r>
      <w:r>
        <w:t xml:space="preserve">, announced to participants, not separation.</w:t>
      </w:r>
    </w:p>
    <w:p>
      <w:pPr>
        <w:spacing w:after="140"/>
      </w:pPr>
      <w:r>
        <w:rPr>
          <w:b/>
          <w:bCs/>
        </w:rPr>
        <w:t xml:space="preserve">S2 — No stopping rule on pursuit.</w:t>
      </w:r>
      <w:r>
        <w:t xml:space="preserve"> The same item from the other end: the only route </w:t>
      </w:r>
      <w:r>
        <w:rPr>
          <w:i/>
          <w:iCs/>
        </w:rPr>
        <w:t xml:space="preserve">to</w:t>
      </w:r>
      <w:r>
        <w:t xml:space="preserve"> a quiet teen is being sought, and their only route out is showing nothing. Adopt with S1, not after it.</w:t>
      </w:r>
    </w:p>
    <w:p>
      <w:pPr>
        <w:spacing w:after="140"/>
      </w:pPr>
      <w:r>
        <w:rPr>
          <w:b/>
          <w:bCs/>
        </w:rPr>
        <w:t xml:space="preserve">S3 — The compliant teen.</w:t>
      </w:r>
      <w:r>
        <w:t xml:space="preserve"> A young person who answers because answering is expected is currently scored </w:t>
      </w:r>
      <w:r>
        <w:rPr>
          <w:i/>
          <w:iCs/>
        </w:rPr>
        <w:t xml:space="preserve">seen</w:t>
      </w:r>
      <w:r>
        <w:t xml:space="preserve"> on the primary sign. Reached only by a non-agreement tick or an unsigned card, both currently unnumbered in the reviews.</w:t>
      </w:r>
    </w:p>
    <w:p>
      <w:pPr>
        <w:spacing w:after="140"/>
      </w:pPr>
      <w:r>
        <w:rPr>
          <w:b/>
          <w:bCs/>
        </w:rPr>
        <w:t xml:space="preserve">S4 — No adverse-event or harm-response protocol in the paper</w:t>
      </w:r>
      <w:r>
        <w:t xml:space="preserve">, in a design that deliberately escalates minors' disclosure and counts it as success. The handbook has the Settle Protocol; the paper does not say so, and a reader would conclude it does not exist.</w:t>
      </w:r>
    </w:p>
    <w:p>
      <w:pPr>
        <w:spacing w:after="140"/>
      </w:pPr>
      <w:r>
        <w:rPr>
          <w:b/>
          <w:bCs/>
        </w:rPr>
        <w:t xml:space="preserve">S5 — No pre-committed rule for a family that stops coming</w:t>
      </w:r>
      <w:r>
        <w:t xml:space="preserve">, and no data retention or destruction endpoint under a covenant governing minors' material. The debrief pack names where filled sheets live and never when they stop living there.</w:t>
      </w:r>
    </w:p>
    <w:p>
      <w:pPr>
        <w:spacing w:after="140"/>
      </w:pPr>
      <w:r>
        <w:rPr>
          <w:b/>
          <w:bCs/>
        </w:rPr>
        <w:t xml:space="preserve">S6 — A consent overpromise.</w:t>
      </w:r>
      <w:r>
        <w:t xml:space="preserve"> "The room never learns who answered which way" is arithmetically unkeepable at three to six families. Name the limit in the permission conversation rather than promising past it.</w:t>
      </w:r>
    </w:p>
    <w:p>
      <w:pPr>
        <w:pBdr>
          <w:bottom w:val="single" w:color="999999" w:sz="6" w:space="4"/>
        </w:pBdr>
        <w:spacing w:after="100" w:before="100"/>
      </w:pPr>
      <w:r>
        <w:t xml:space="preserve"/>
      </w:r>
    </w:p>
    <w:p>
      <w:pPr>
        <w:pStyle w:val="Heading2"/>
      </w:pPr>
      <w:r>
        <w:t xml:space="preserve">8. The capacity problem — rank and cap</w:t>
      </w:r>
    </w:p>
    <w:p>
      <w:pPr>
        <w:spacing w:after="140"/>
      </w:pPr>
      <w:r>
        <w:t xml:space="preserve">Both refuters independently warned that the panel proposed roughly </w:t>
      </w:r>
      <w:r>
        <w:rPr>
          <w:b/>
          <w:bCs/>
        </w:rPr>
        <w:t xml:space="preserve">fifteen additions to a one-page debrief sheet whose lightness the paper itself defends as the condition of its survival.</w:t>
      </w:r>
      <w:r>
        <w:t xml:space="preserve"> Individually cheap, collectively fatal. The agreed cap, in order:</w:t>
      </w:r>
    </w:p>
    <w:p>
      <w:pPr>
        <w:spacing w:after="140"/>
      </w:pPr>
      <w:r>
        <w:t xml:space="preserve">1. </w:t>
      </w:r>
      <w:r>
        <w:rPr>
          <w:b/>
          <w:bCs/>
        </w:rPr>
        <w:t xml:space="preserve">Pass-read and sought-declined</w:t>
      </w:r>
      <w:r>
        <w:t xml:space="preserve"> — one line, answers two findings, and is the design's only read for a refusal.</w:t>
      </w:r>
    </w:p>
    <w:p>
      <w:pPr>
        <w:spacing w:after="140"/>
      </w:pPr>
      <w:r>
        <w:t xml:space="preserve">2. </w:t>
      </w:r>
      <w:r>
        <w:rPr>
          <w:b/>
          <w:bCs/>
        </w:rPr>
        <w:t xml:space="preserve">The outward-crossing line.</w:t>
      </w:r>
    </w:p>
    <w:p>
      <w:pPr>
        <w:spacing w:after="140"/>
      </w:pPr>
      <w:r>
        <w:t xml:space="preserve">3. </w:t>
      </w:r>
      <w:r>
        <w:rPr>
          <w:b/>
          <w:bCs/>
        </w:rPr>
        <w:t xml:space="preserve">Adult / young-person tag</w:t>
      </w:r>
      <w:r>
        <w:t xml:space="preserve"> on the marks.</w:t>
      </w:r>
    </w:p>
    <w:p>
      <w:pPr>
        <w:spacing w:after="140"/>
      </w:pPr>
      <w:r>
        <w:t xml:space="preserve">4. </w:t>
      </w:r>
      <w:r>
        <w:rPr>
          <w:b/>
          <w:bCs/>
        </w:rPr>
        <w:t xml:space="preserve">Who led, and was it their first time.</w:t>
      </w:r>
    </w:p>
    <w:p>
      <w:pPr>
        <w:spacing w:after="140"/>
      </w:pPr>
      <w:r>
        <w:t xml:space="preserve">5. </w:t>
      </w:r>
      <w:r>
        <w:rPr>
          <w:b/>
          <w:bCs/>
        </w:rPr>
        <w:t xml:space="preserve">Which parent went first.</w:t>
      </w:r>
    </w:p>
    <w:p>
      <w:pPr>
        <w:spacing w:after="140"/>
      </w:pPr>
      <w:r>
        <w:t xml:space="preserve">Below that, wait. Everything log-shaped belongs on the Thursday Call, not the sheet.</w:t>
      </w:r>
    </w:p>
    <w:p>
      <w:pPr>
        <w:pBdr>
          <w:bottom w:val="single" w:color="999999" w:sz="6" w:space="4"/>
        </w:pBdr>
        <w:spacing w:after="100" w:before="100"/>
      </w:pPr>
      <w:r>
        <w:t xml:space="preserve"/>
      </w:r>
    </w:p>
    <w:p>
      <w:pPr>
        <w:pStyle w:val="Heading2"/>
      </w:pPr>
      <w:r>
        <w:t xml:space="preserve">9. Remedies that would damage the paper</w:t>
      </w:r>
    </w:p>
    <w:p>
      <w:pPr>
        <w:pStyle w:val="ListParagraph"/>
        <w:numPr>
          <w:ilvl w:val="0"/>
          <w:numId w:val="2"/>
        </w:numPr>
        <w:spacing w:after="60"/>
      </w:pPr>
      <w:r>
        <w:t xml:space="preserve">Adding validated scales (RHI, Edmondson's seven items) — undoes the twice-abandoned rated criteria the paper already reports failing, and breaks the one-page pulse.</w:t>
      </w:r>
    </w:p>
    <w:p>
      <w:pPr>
        <w:pStyle w:val="ListParagraph"/>
        <w:numPr>
          <w:ilvl w:val="0"/>
          <w:numId w:val="2"/>
        </w:numPr>
        <w:spacing w:after="60"/>
      </w:pPr>
      <w:r>
        <w:t xml:space="preserve">Parent-mentalizing codes — the proposer's own argument against his instrument refutes it; the clearest weep-test violation proposed.</w:t>
      </w:r>
    </w:p>
    <w:p>
      <w:pPr>
        <w:pStyle w:val="ListParagraph"/>
        <w:numPr>
          <w:ilvl w:val="0"/>
          <w:numId w:val="2"/>
        </w:numPr>
        <w:spacing w:after="60"/>
      </w:pPr>
      <w:r>
        <w:t xml:space="preserve">Rung surgery to accommodate repair coding.</w:t>
      </w:r>
    </w:p>
    <w:p>
      <w:pPr>
        <w:pStyle w:val="ListParagraph"/>
        <w:numPr>
          <w:ilvl w:val="0"/>
          <w:numId w:val="2"/>
        </w:numPr>
        <w:spacing w:after="60"/>
      </w:pPr>
      <w:r>
        <w:t xml:space="preserve">Quotation of participants by permission; writing up the prototype family (re-identifiable at n of one).</w:t>
      </w:r>
    </w:p>
    <w:p>
      <w:pPr>
        <w:pStyle w:val="ListParagraph"/>
        <w:numPr>
          <w:ilvl w:val="0"/>
          <w:numId w:val="2"/>
        </w:numPr>
        <w:spacing w:after="60"/>
      </w:pPr>
      <w:r>
        <w:t xml:space="preserve">Numeric primary-outcome thresholds, which contradict the no-announced-targets commitment.</w:t>
      </w:r>
    </w:p>
    <w:p>
      <w:pPr>
        <w:pStyle w:val="ListParagraph"/>
        <w:numPr>
          <w:ilvl w:val="0"/>
          <w:numId w:val="2"/>
        </w:numPr>
        <w:spacing w:after="60"/>
      </w:pPr>
      <w:r>
        <w:t xml:space="preserve">The full nine-item deposit; three of its contents collide with the same commitment.</w:t>
      </w:r>
    </w:p>
    <w:p>
      <w:pPr>
        <w:pBdr>
          <w:bottom w:val="single" w:color="999999" w:sz="6" w:space="4"/>
        </w:pBdr>
        <w:spacing w:after="100" w:before="100"/>
      </w:pPr>
      <w:r>
        <w:t xml:space="preserve"/>
      </w:r>
    </w:p>
    <w:p>
      <w:pPr>
        <w:pStyle w:val="Heading2"/>
      </w:pPr>
      <w:r>
        <w:t xml:space="preserve">10. Recommended order</w:t>
      </w:r>
    </w:p>
    <w:p>
      <w:pPr>
        <w:spacing w:after="140"/>
      </w:pPr>
      <w:r>
        <w:t xml:space="preserve">1. </w:t>
      </w:r>
      <w:r>
        <w:rPr>
          <w:b/>
          <w:bCs/>
        </w:rPr>
        <w:t xml:space="preserve">Safeguarding S1–S6</w:t>
      </w:r>
      <w:r>
        <w:t xml:space="preserve"> — separate clock, before September 2, and independent of the manuscript.</w:t>
      </w:r>
    </w:p>
    <w:p>
      <w:pPr>
        <w:spacing w:after="140"/>
      </w:pPr>
      <w:r>
        <w:t xml:space="preserve">2. </w:t>
      </w:r>
      <w:r>
        <w:rPr>
          <w:b/>
          <w:bCs/>
        </w:rPr>
        <w:t xml:space="preserve">Tier 1</w:t>
      </w:r>
      <w:r>
        <w:t xml:space="preserve"> — four free changes, this week.</w:t>
      </w:r>
    </w:p>
    <w:p>
      <w:pPr>
        <w:spacing w:after="140"/>
      </w:pPr>
      <w:r>
        <w:t xml:space="preserve">3. </w:t>
      </w:r>
      <w:r>
        <w:rPr>
          <w:b/>
          <w:bCs/>
        </w:rPr>
        <w:t xml:space="preserve">Tier 2</w:t>
      </w:r>
      <w:r>
        <w:t xml:space="preserve"> — the falsifiability repair, which is the paper's substantive answer to this panel.</w:t>
      </w:r>
    </w:p>
    <w:p>
      <w:pPr>
        <w:spacing w:after="140"/>
      </w:pPr>
      <w:r>
        <w:t xml:space="preserve">4. </w:t>
      </w:r>
      <w:r>
        <w:rPr>
          <w:b/>
          <w:bCs/>
        </w:rPr>
        <w:t xml:space="preserve">Tier 3</w:t>
      </w:r>
      <w:r>
        <w:t xml:space="preserve"> — inference and evidence, including the two cheap rival tests. </w:t>
      </w:r>
      <w:r>
        <w:rPr>
          <w:b/>
          <w:bCs/>
        </w:rPr>
        <w:t xml:space="preserve">If the summer card is adopted, the permission language must change before the gap-week conversations</w:t>
      </w:r>
      <w:r>
        <w:t xml:space="preserve">, since it makes the family-facing corpus six pages instead of five.</w:t>
      </w:r>
    </w:p>
    <w:p>
      <w:pPr>
        <w:spacing w:after="140"/>
      </w:pPr>
      <w:r>
        <w:t xml:space="preserve">5. </w:t>
      </w:r>
      <w:r>
        <w:rPr>
          <w:b/>
          <w:bCs/>
        </w:rPr>
        <w:t xml:space="preserve">Tier 4</w:t>
      </w:r>
      <w:r>
        <w:t xml:space="preserve"> — the theological and practical-theological items, several of which are one line.</w:t>
      </w:r>
    </w:p>
    <w:p>
      <w:pPr>
        <w:spacing w:after="140"/>
      </w:pPr>
      <w:r>
        <w:t xml:space="preserve">6. </w:t>
      </w:r>
      <w:r>
        <w:rPr>
          <w:b/>
          <w:bCs/>
        </w:rPr>
        <w:t xml:space="preserve">Stage C</w:t>
      </w:r>
      <w:r>
        <w:t xml:space="preserve"> (the Biola desk) on the corrected paper.</w:t>
      </w:r>
    </w:p>
    <w:p>
      <w:pPr>
        <w:pBdr>
          <w:bottom w:val="single" w:color="999999" w:sz="6" w:space="4"/>
        </w:pBdr>
        <w:spacing w:after="100" w:before="100"/>
      </w:pPr>
      <w:r>
        <w:t xml:space="preserve"/>
      </w:r>
    </w:p>
    <w:p>
      <w:pPr>
        <w:spacing w:after="140"/>
      </w:pPr>
      <w:r>
        <w:rPr>
          <w:i/>
          <w:iCs/>
        </w:rPr>
        <w:t xml:space="preserve">Artifact of the Stage B methodology review. Reviews, refuter verdicts, and this synthesis are dev-only and are never published to any site.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lvl w:ilvl="1" w15:tentative="1">
      <w:start w:val="1"/>
      <w:numFmt w:val="bullet"/>
      <w:lvlText w:val="◦"/>
      <w:lvlJc w:val="left"/>
      <w:pPr>
        <w:ind w:left="11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2026-08-19T15:47:03.043Z</dcterms:created>
  <dcterms:modified xsi:type="dcterms:W3CDTF">2026-08-19T15:47:03.044Z</dcterms:modified>
</cp:coreProperties>
</file>

<file path=docProps/custom.xml><?xml version="1.0" encoding="utf-8"?>
<Properties xmlns="http://schemas.openxmlformats.org/officeDocument/2006/custom-properties" xmlns:vt="http://schemas.openxmlformats.org/officeDocument/2006/docPropsVTypes"/>
</file>