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Theory of Action — Where Else It Lives</w:t>
      </w:r>
    </w:p>
    <w:p>
      <w:pPr>
        <w:pStyle w:val="Subtitle"/>
      </w:pPr>
      <w:r>
        <w:t xml:space="preserve">Placements in Volumes 1 and 4, and in the Fellowship of the Heart materials</w:t>
      </w:r>
    </w:p>
    <w:p>
      <w:pPr>
        <w:pStyle w:val="Author"/>
      </w:pPr>
      <w:r>
        <w:t xml:space="preserve">John G. Tittle</w:t>
      </w:r>
    </w:p>
    <w:p>
      <w:pPr>
        <w:pStyle w:val="Date"/>
      </w:pPr>
      <w:r>
        <w:t xml:space="preserve">Draft v1 — 7 September 2026, for the 4 October Council meeting</w:t>
      </w:r>
    </w:p>
    <w:p>
      <w:pPr>
        <w:pStyle w:val="BlockText"/>
      </w:pPr>
      <w:r>
        <w:rPr>
          <w:b/>
          <w:bCs/>
        </w:rPr>
        <w:t xml:space="preserve">DRAFT v1, for John’s edits.</w:t>
      </w:r>
      <w:r>
        <w:t xml:space="preserve"> </w:t>
      </w:r>
      <w:r>
        <w:t xml:space="preserve">This document has two parts that go to the Council</w:t>
      </w:r>
      <w:r>
        <w:t xml:space="preserve"> </w:t>
      </w:r>
      <w:r>
        <w:t xml:space="preserve">two different ways, and the difference matters.</w:t>
      </w:r>
    </w:p>
    <w:p>
      <w:pPr>
        <w:pStyle w:val="BlockText"/>
      </w:pPr>
      <w:r>
        <w:rPr>
          <w:b/>
          <w:bCs/>
        </w:rPr>
        <w:t xml:space="preserve">Part I extends ask 3.</w:t>
      </w:r>
      <w:r>
        <w:t xml:space="preserve"> </w:t>
      </w:r>
      <w:r>
        <w:t xml:space="preserve">The theory-of-action sentence the Council is already</w:t>
      </w:r>
      <w:r>
        <w:t xml:space="preserve"> </w:t>
      </w:r>
      <w:r>
        <w:t xml:space="preserve">holding (in</w:t>
      </w:r>
      <w:r>
        <w:t xml:space="preserve"> </w:t>
      </w:r>
      <w:r>
        <w:rPr>
          <w:i/>
          <w:iCs/>
        </w:rPr>
        <w:t xml:space="preserve">Before the Tools</w:t>
      </w:r>
      <w:r>
        <w:t xml:space="preserve">, Part B of the September inserts) turns out to be</w:t>
      </w:r>
      <w:r>
        <w:t xml:space="preserve"> </w:t>
      </w:r>
      <w:r>
        <w:t xml:space="preserve">load-bearing beyond Volume 2. Part I shows the two places in the IJH corpus it</w:t>
      </w:r>
      <w:r>
        <w:t xml:space="preserve"> </w:t>
      </w:r>
      <w:r>
        <w:t xml:space="preserve">would also land. These are for the Council’s</w:t>
      </w:r>
      <w:r>
        <w:t xml:space="preserve"> </w:t>
      </w:r>
      <w:r>
        <w:rPr>
          <w:b/>
          <w:bCs/>
        </w:rPr>
        <w:t xml:space="preserve">decision</w:t>
      </w:r>
      <w:r>
        <w:t xml:space="preserve">, as part of the same ask:</w:t>
      </w:r>
      <w:r>
        <w:t xml:space="preserve"> </w:t>
      </w:r>
      <w:r>
        <w:t xml:space="preserve">if ask 3 is approved, these come with it; if the Council reshapes the sentence,</w:t>
      </w:r>
      <w:r>
        <w:t xml:space="preserve"> </w:t>
      </w:r>
      <w:r>
        <w:t xml:space="preserve">these track the final wording; if ask 3 is declined, these fall away with it.</w:t>
      </w:r>
    </w:p>
    <w:p>
      <w:pPr>
        <w:pStyle w:val="BlockText"/>
      </w:pPr>
      <w:r>
        <w:rPr>
          <w:b/>
          <w:bCs/>
        </w:rPr>
        <w:t xml:space="preserve">Part II is for the Council’s counsel only.</w:t>
      </w:r>
      <w:r>
        <w:t xml:space="preserve"> </w:t>
      </w:r>
      <w:r>
        <w:t xml:space="preserve">The Fellowship of the Heart is not</w:t>
      </w:r>
      <w:r>
        <w:t xml:space="preserve"> </w:t>
      </w:r>
      <w:r>
        <w:t xml:space="preserve">under the Council’s governance — it sits with me, and I bring it to the table for</w:t>
      </w:r>
      <w:r>
        <w:t xml:space="preserve"> </w:t>
      </w:r>
      <w:r>
        <w:t xml:space="preserve">advice, not consent. Part II shows where the same sentence would live in the FotH</w:t>
      </w:r>
      <w:r>
        <w:t xml:space="preserve"> </w:t>
      </w:r>
      <w:r>
        <w:t xml:space="preserve">materials, so the Council can see the whole footprint and speak into it. The</w:t>
      </w:r>
      <w:r>
        <w:t xml:space="preserve"> </w:t>
      </w:r>
      <w:r>
        <w:t xml:space="preserve">decision and its timing stay mine. One coherence note: since FotH would quote a</w:t>
      </w:r>
      <w:r>
        <w:t xml:space="preserve"> </w:t>
      </w:r>
      <w:r>
        <w:t xml:space="preserve">sentence whose canonical home is Volume 2, I intend to let FotH track whatever</w:t>
      </w:r>
      <w:r>
        <w:t xml:space="preserve"> </w:t>
      </w:r>
      <w:r>
        <w:t xml:space="preserve">wording the Council’s answer on ask 3 settles, so there are never two public</w:t>
      </w:r>
      <w:r>
        <w:t xml:space="preserve"> </w:t>
      </w:r>
      <w:r>
        <w:t xml:space="preserve">versions of a foundations sentence.</w:t>
      </w:r>
    </w:p>
    <w:p>
      <w:pPr>
        <w:pStyle w:val="BlockText"/>
      </w:pPr>
      <w:r>
        <w:t xml:space="preserve">Placement notes are in brackets and are not part of the text.</w:t>
      </w:r>
    </w:p>
    <w:p>
      <w:r>
        <w:pict>
          <v:rect style="width:0;height:1.5pt" o:hralign="center" o:hrstd="t" o:hr="t"/>
        </w:pict>
      </w:r>
    </w:p>
    <w:bookmarkStart w:id="9" w:name="the-sentence-for-reference"/>
    <w:p>
      <w:pPr>
        <w:pStyle w:val="Heading1"/>
      </w:pPr>
      <w:r>
        <w:t xml:space="preserve">The sentence, for reference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i/>
          <w:iCs/>
        </w:rPr>
        <w:t xml:space="preserve">Before the Tools: What This Volume Assumes</w:t>
      </w:r>
      <w:r>
        <w:t xml:space="preserve"> </w:t>
      </w:r>
      <w:r>
        <w:t xml:space="preserve">(Part B of the September draft, held under ask 3), as refined by the author on 8 September 2026 — the September packet carried the earlier form, without</w:t>
      </w:r>
      <w:r>
        <w:t xml:space="preserve"> </w:t>
      </w:r>
      <w:r>
        <w:t xml:space="preserve">“and obey Christ,”</w:t>
      </w:r>
      <w:r>
        <w:t xml:space="preserve"> </w:t>
      </w:r>
      <w:r>
        <w:t xml:space="preserve">without the closing purpose clause, and with</w:t>
      </w:r>
      <w:r>
        <w:t xml:space="preserve"> </w:t>
      </w:r>
      <w:r>
        <w:t xml:space="preserve">“the Holy Spirit will clear the way”</w:t>
      </w:r>
      <w:r>
        <w:t xml:space="preserve"> </w:t>
      </w:r>
      <w:r>
        <w:t xml:space="preserve">rather than the door-opened phrasing; the refinements come before the Council with ask 3:</w:t>
      </w:r>
    </w:p>
    <w:p>
      <w:pPr>
        <w:pStyle w:val="BlockText"/>
      </w:pPr>
      <w:r>
        <w:rPr>
          <w:b/>
          <w:bCs/>
        </w:rPr>
        <w:t xml:space="preserve">The theory of action, in one sentence.</w:t>
      </w:r>
      <w:r>
        <w:t xml:space="preserve"> </w:t>
      </w:r>
      <w:r>
        <w:t xml:space="preserve">Everything in this volume rests on one</w:t>
      </w:r>
      <w:r>
        <w:t xml:space="preserve"> </w:t>
      </w:r>
      <w:r>
        <w:t xml:space="preserve">expectation: that if you want to hear and obey Christ, and you bring what blocks</w:t>
      </w:r>
      <w:r>
        <w:t xml:space="preserve"> </w:t>
      </w:r>
      <w:r>
        <w:t xml:space="preserve">you into the light, with the Word open, a few brothers or sisters beside you, and</w:t>
      </w:r>
      <w:r>
        <w:t xml:space="preserve"> </w:t>
      </w:r>
      <w:r>
        <w:t xml:space="preserve">someone over you who can see your life, the door will be open for the Holy Spirit</w:t>
      </w:r>
      <w:r>
        <w:t xml:space="preserve"> </w:t>
      </w:r>
      <w:r>
        <w:t xml:space="preserve">to clear the way as he wills, and the laws I wrote down in Volume 1 will start to</w:t>
      </w:r>
      <w:r>
        <w:t xml:space="preserve"> </w:t>
      </w:r>
      <w:r>
        <w:t xml:space="preserve">work in you the way they were written such that you are on an intentional path to</w:t>
      </w:r>
      <w:r>
        <w:t xml:space="preserve"> </w:t>
      </w:r>
      <w:r>
        <w:t xml:space="preserve">grow up into Christ, into hearing and obeying Christ in everything.</w:t>
      </w:r>
    </w:p>
    <w:p>
      <w:r>
        <w:pict>
          <v:rect style="width:0;height:1.5pt" o:hralign="center" o:hrstd="t" o:hr="t"/>
        </w:pict>
      </w:r>
    </w:p>
    <w:bookmarkEnd w:id="9"/>
    <w:bookmarkStart w:id="12" w:name="part-i-ijh-placements-extends-ask-3"/>
    <w:p>
      <w:pPr>
        <w:pStyle w:val="Heading1"/>
      </w:pPr>
      <w:r>
        <w:t xml:space="preserve">Part I — IJH placements (extends ask 3)</w:t>
      </w:r>
    </w:p>
    <w:bookmarkStart w:id="10" w:name="X83801bc19e28da2eff5bf99c760a455a14586dc"/>
    <w:p>
      <w:pPr>
        <w:pStyle w:val="Heading2"/>
      </w:pPr>
      <w:r>
        <w:t xml:space="preserve">I.A — Volume 4: the five research questions as tests of the one expectation</w:t>
      </w:r>
    </w:p>
    <w:p>
      <w:pPr>
        <w:pStyle w:val="FirstParagraph"/>
      </w:pPr>
      <w:r>
        <w:t xml:space="preserve">[Insert in</w:t>
      </w:r>
      <w:r>
        <w:t xml:space="preserve"> </w:t>
      </w:r>
      <w:r>
        <w:rPr>
          <w:i/>
          <w:iCs/>
        </w:rPr>
        <w:t xml:space="preserve">Section 5: Research Program Design</w:t>
      </w:r>
      <w:r>
        <w:t xml:space="preserve">, §5a, immediately after the paragraph</w:t>
      </w:r>
      <w:r>
        <w:t xml:space="preserve"> </w:t>
      </w:r>
      <w:r>
        <w:t xml:space="preserve">that begins</w:t>
      </w:r>
      <w:r>
        <w:t xml:space="preserve"> </w:t>
      </w:r>
      <w:r>
        <w:t xml:space="preserve">“The research program is organized around five primary research</w:t>
      </w:r>
      <w:r>
        <w:t xml:space="preserve"> </w:t>
      </w:r>
      <w:r>
        <w:t xml:space="preserve">questions,”</w:t>
      </w:r>
      <w:r>
        <w:t xml:space="preserve"> </w:t>
      </w:r>
      <w:r>
        <w:t xml:space="preserve">and before the RQ1 block.]</w:t>
      </w:r>
    </w:p>
    <w:p>
      <w:pPr>
        <w:pStyle w:val="BodyText"/>
      </w:pPr>
      <w:r>
        <w:t xml:space="preserve">The five questions are not five separate curiosities. They are the one expectation</w:t>
      </w:r>
      <w:r>
        <w:t xml:space="preserve"> </w:t>
      </w:r>
      <w:r>
        <w:t xml:space="preserve">of this work, taken apart into the pieces a study can actually hold. Volume 2</w:t>
      </w:r>
      <w:r>
        <w:t xml:space="preserve"> </w:t>
      </w:r>
      <w:r>
        <w:t xml:space="preserve">states it in a sentence: if you want to hear and obey Christ, and you bring what</w:t>
      </w:r>
      <w:r>
        <w:t xml:space="preserve"> </w:t>
      </w:r>
      <w:r>
        <w:t xml:space="preserve">blocks you into the light, with the Word open, a few brothers or sisters beside</w:t>
      </w:r>
      <w:r>
        <w:t xml:space="preserve"> </w:t>
      </w:r>
      <w:r>
        <w:t xml:space="preserve">you, and someone over you who can see your life, the door will be open for the</w:t>
      </w:r>
      <w:r>
        <w:t xml:space="preserve"> </w:t>
      </w:r>
      <w:r>
        <w:t xml:space="preserve">Holy Spirit to clear the way as he wills, and the laws of Volume 1 will start to</w:t>
      </w:r>
      <w:r>
        <w:t xml:space="preserve"> </w:t>
      </w:r>
      <w:r>
        <w:t xml:space="preserve">work in you the way they were written such that you are on an intentional path to</w:t>
      </w:r>
      <w:r>
        <w:t xml:space="preserve"> </w:t>
      </w:r>
      <w:r>
        <w:t xml:space="preserve">grow up into Christ, into hearing and obeying Christ in everything. Each clause of</w:t>
      </w:r>
      <w:r>
        <w:t xml:space="preserve"> </w:t>
      </w:r>
      <w:r>
        <w:t xml:space="preserve">that sentence is a condition a study can observe, and each research question</w:t>
      </w:r>
      <w:r>
        <w:t xml:space="preserve"> </w:t>
      </w:r>
      <w:r>
        <w:t xml:space="preserve">tests part of it: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You want to hear and obey Christ</w:t>
      </w:r>
      <w:r>
        <w:t xml:space="preserve"> </w:t>
      </w:r>
      <w:r>
        <w:t xml:space="preserve">— and what blocks you comes into the</w:t>
      </w:r>
      <w:r>
        <w:t xml:space="preserve"> </w:t>
      </w:r>
      <w:r>
        <w:t xml:space="preserve">light:</w:t>
      </w:r>
      <w:r>
        <w:t xml:space="preserve"> </w:t>
      </w:r>
      <w:r>
        <w:rPr>
          <w:b/>
          <w:bCs/>
        </w:rPr>
        <w:t xml:space="preserve">RQ5</w:t>
      </w:r>
      <w:r>
        <w:t xml:space="preserve"> </w:t>
      </w:r>
      <w:r>
        <w:t xml:space="preserve">asks whether willingness and disclosure, at cost, reliably</w:t>
      </w:r>
      <w:r>
        <w:t xml:space="preserve"> </w:t>
      </w:r>
      <w:r>
        <w:t xml:space="preserve">precede the rapid shifts.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With the Word open</w:t>
      </w:r>
      <w:r>
        <w:t xml:space="preserve">:</w:t>
      </w:r>
      <w:r>
        <w:t xml:space="preserve"> </w:t>
      </w:r>
      <w:r>
        <w:rPr>
          <w:b/>
          <w:bCs/>
        </w:rPr>
        <w:t xml:space="preserve">RQ2</w:t>
      </w:r>
      <w:r>
        <w:t xml:space="preserve"> </w:t>
      </w:r>
      <w:r>
        <w:t xml:space="preserve">asks whether scripture trust and formation move</w:t>
      </w:r>
      <w:r>
        <w:t xml:space="preserve"> </w:t>
      </w:r>
      <w:r>
        <w:t xml:space="preserve">together, and in which order.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 few brothers or sisters beside you</w:t>
      </w:r>
      <w:r>
        <w:t xml:space="preserve">:</w:t>
      </w:r>
      <w:r>
        <w:t xml:space="preserve"> </w:t>
      </w:r>
      <w:r>
        <w:rPr>
          <w:b/>
          <w:bCs/>
        </w:rPr>
        <w:t xml:space="preserve">RQ1</w:t>
      </w:r>
      <w:r>
        <w:t xml:space="preserve"> </w:t>
      </w:r>
      <w:r>
        <w:t xml:space="preserve">asks whether the group practice</w:t>
      </w:r>
      <w:r>
        <w:t xml:space="preserve"> </w:t>
      </w:r>
      <w:r>
        <w:t xml:space="preserve">produces movement a matched control does not.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Someone over you who can see your life</w:t>
      </w:r>
      <w:r>
        <w:t xml:space="preserve">:</w:t>
      </w:r>
      <w:r>
        <w:t xml:space="preserve"> </w:t>
      </w:r>
      <w:r>
        <w:rPr>
          <w:b/>
          <w:bCs/>
        </w:rPr>
        <w:t xml:space="preserve">RQ4</w:t>
      </w:r>
      <w:r>
        <w:t xml:space="preserve"> </w:t>
      </w:r>
      <w:r>
        <w:t xml:space="preserve">asks whether the formation of</w:t>
      </w:r>
      <w:r>
        <w:t xml:space="preserve"> </w:t>
      </w:r>
      <w:r>
        <w:t xml:space="preserve">the one who holds the group predicts the group’s trajectory.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The laws will start to work in you</w:t>
      </w:r>
      <w:r>
        <w:t xml:space="preserve">:</w:t>
      </w:r>
      <w:r>
        <w:t xml:space="preserve"> </w:t>
      </w:r>
      <w:r>
        <w:rPr>
          <w:b/>
          <w:bCs/>
        </w:rPr>
        <w:t xml:space="preserve">RQ3</w:t>
      </w:r>
      <w:r>
        <w:t xml:space="preserve"> </w:t>
      </w:r>
      <w:r>
        <w:t xml:space="preserve">asks whether the movement shows up</w:t>
      </w:r>
      <w:r>
        <w:t xml:space="preserve"> </w:t>
      </w:r>
      <w:r>
        <w:t xml:space="preserve">where Volume 1 says it should — in the restored image of God.</w:t>
      </w:r>
    </w:p>
    <w:p>
      <w:pPr>
        <w:pStyle w:val="FirstParagraph"/>
      </w:pPr>
      <w:r>
        <w:t xml:space="preserve">One clause has no instrument, on purpose.</w:t>
      </w:r>
      <w:r>
        <w:t xml:space="preserve"> </w:t>
      </w:r>
      <w:r>
        <w:rPr>
          <w:i/>
          <w:iCs/>
        </w:rPr>
        <w:t xml:space="preserve">The door will be open for the Holy</w:t>
      </w:r>
      <w:r>
        <w:rPr>
          <w:i/>
          <w:iCs/>
        </w:rPr>
        <w:t xml:space="preserve"> </w:t>
      </w:r>
      <w:r>
        <w:rPr>
          <w:i/>
          <w:iCs/>
        </w:rPr>
        <w:t xml:space="preserve">Spirit to clear the way as he wills</w:t>
      </w:r>
      <w:r>
        <w:t xml:space="preserve"> </w:t>
      </w:r>
      <w:r>
        <w:t xml:space="preserve">is the mechanism, and the mechanism is</w:t>
      </w:r>
      <w:r>
        <w:t xml:space="preserve"> </w:t>
      </w:r>
      <w:r>
        <w:t xml:space="preserve">confessed, not measured (John 3:8). The conditions open a door; they never</w:t>
      </w:r>
      <w:r>
        <w:t xml:space="preserve"> </w:t>
      </w:r>
      <w:r>
        <w:t xml:space="preserve">compel God. The</w:t>
      </w:r>
      <w:r>
        <w:t xml:space="preserve"> </w:t>
      </w:r>
      <w:r>
        <w:t xml:space="preserve">program measures the conditions and the outcomes; it does not put the wind in a</w:t>
      </w:r>
      <w:r>
        <w:t xml:space="preserve"> </w:t>
      </w:r>
      <w:r>
        <w:t xml:space="preserve">box. If the conditions are met and the outcomes do not come, the sentence is</w:t>
      </w:r>
      <w:r>
        <w:t xml:space="preserve"> </w:t>
      </w:r>
      <w:r>
        <w:t xml:space="preserve">wrong and this page changes. That is what makes it a theory of action rather than</w:t>
      </w:r>
      <w:r>
        <w:t xml:space="preserve"> </w:t>
      </w:r>
      <w:r>
        <w:t xml:space="preserve">a slogan.</w:t>
      </w:r>
    </w:p>
    <w:bookmarkEnd w:id="10"/>
    <w:bookmarkStart w:id="11" w:name="Xd57a2df48d36a4dc28a79fd291a98417cadc41c"/>
    <w:p>
      <w:pPr>
        <w:pStyle w:val="Heading2"/>
      </w:pPr>
      <w:r>
        <w:t xml:space="preserve">I.B — Introduction: one forward pointer in the Note on Proof and Certainty</w:t>
      </w:r>
    </w:p>
    <w:p>
      <w:pPr>
        <w:pStyle w:val="FirstParagraph"/>
      </w:pPr>
      <w:r>
        <w:t xml:space="preserve">[In</w:t>
      </w:r>
      <w:r>
        <w:t xml:space="preserve"> </w:t>
      </w:r>
      <w:r>
        <w:rPr>
          <w:i/>
          <w:iCs/>
        </w:rPr>
        <w:t xml:space="preserve">A Note on Proof and Certainty</w:t>
      </w:r>
      <w:r>
        <w:t xml:space="preserve">, appended at the end of the first paragraph,</w:t>
      </w:r>
      <w:r>
        <w:t xml:space="preserve"> </w:t>
      </w:r>
      <w:r>
        <w:t xml:space="preserve">directly after the sentence Part C of the September draft adds there (</w:t>
      </w:r>
      <w:r>
        <w:t xml:space="preserve">“…It is</w:t>
      </w:r>
      <w:r>
        <w:t xml:space="preserve"> </w:t>
      </w:r>
      <w:r>
        <w:t xml:space="preserve">the court.”</w:t>
      </w:r>
      <w:r>
        <w:t xml:space="preserve">). One sentence only. Depends on Parts B and C landing.]</w:t>
      </w:r>
    </w:p>
    <w:p>
      <w:pPr>
        <w:pStyle w:val="BodyText"/>
      </w:pPr>
      <w:r>
        <w:t xml:space="preserve">And for the reader who is already asking why laws this good are not already</w:t>
      </w:r>
      <w:r>
        <w:t xml:space="preserve"> </w:t>
      </w:r>
      <w:r>
        <w:t xml:space="preserve">working in their life: Volume 2 opens with the expectation that answers that</w:t>
      </w:r>
      <w:r>
        <w:t xml:space="preserve"> </w:t>
      </w:r>
      <w:r>
        <w:t xml:space="preserve">question, and the whole of that volume is the clearing of the way.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Xa5b71dc0c493a4c3eb5b801095b625143d225fd"/>
    <w:p>
      <w:pPr>
        <w:pStyle w:val="Heading1"/>
      </w:pPr>
      <w:r>
        <w:t xml:space="preserve">Part II — FotH placements (for counsel; the decision is mine)</w:t>
      </w:r>
    </w:p>
    <w:bookmarkStart w:id="13" w:name="Xedaec1b388daba081b50039c83865bdda0abeb2"/>
    <w:p>
      <w:pPr>
        <w:pStyle w:val="Heading2"/>
      </w:pPr>
      <w:r>
        <w:t xml:space="preserve">II.A — The one expectation, named before anyone joins</w:t>
      </w:r>
    </w:p>
    <w:p>
      <w:pPr>
        <w:pStyle w:val="FirstParagraph"/>
      </w:pPr>
      <w:r>
        <w:t xml:space="preserve">[Two homes, same content. First:</w:t>
      </w:r>
      <w:r>
        <w:t xml:space="preserve"> </w:t>
      </w:r>
      <w:r>
        <w:rPr>
          <w:i/>
          <w:iCs/>
        </w:rPr>
        <w:t xml:space="preserve">Precohort Discernment Guide</w:t>
      </w:r>
      <w:r>
        <w:t xml:space="preserve">, Block 2 — Naming,</w:t>
      </w:r>
      <w:r>
        <w:t xml:space="preserve"> </w:t>
      </w:r>
      <w:r>
        <w:t xml:space="preserve">as a new first item before</w:t>
      </w:r>
      <w:r>
        <w:t xml:space="preserve"> </w:t>
      </w:r>
      <w:r>
        <w:t xml:space="preserve">“The four Connects as the spine,”</w:t>
      </w:r>
      <w:r>
        <w:t xml:space="preserve"> </w:t>
      </w:r>
      <w:r>
        <w:t xml:space="preserve">so the family hears</w:t>
      </w:r>
      <w:r>
        <w:t xml:space="preserve"> </w:t>
      </w:r>
      <w:r>
        <w:t xml:space="preserve">what we expect before they hear how we work. Second: spoken aloud at Family</w:t>
      </w:r>
      <w:r>
        <w:t xml:space="preserve"> </w:t>
      </w:r>
      <w:r>
        <w:t xml:space="preserve">Orientation Night, in the</w:t>
      </w:r>
      <w:r>
        <w:t xml:space="preserve"> </w:t>
      </w:r>
      <w:r>
        <w:t xml:space="preserve">“what to expect”</w:t>
      </w:r>
      <w:r>
        <w:t xml:space="preserve"> </w:t>
      </w:r>
      <w:r>
        <w:t xml:space="preserve">segment. Kitchen-table register.]</w:t>
      </w:r>
    </w:p>
    <w:p>
      <w:pPr>
        <w:pStyle w:val="BodyText"/>
      </w:pPr>
      <w:r>
        <w:rPr>
          <w:b/>
          <w:bCs/>
        </w:rPr>
        <w:t xml:space="preserve">What we expect to happen — and why.</w:t>
      </w:r>
      <w:r>
        <w:t xml:space="preserve"> </w:t>
      </w:r>
      <w:r>
        <w:t xml:space="preserve">Before anything else, you should know what</w:t>
      </w:r>
      <w:r>
        <w:t xml:space="preserve"> </w:t>
      </w:r>
      <w:r>
        <w:t xml:space="preserve">this fellowship actually believes about these evenings, because everything else</w:t>
      </w:r>
      <w:r>
        <w:t xml:space="preserve"> </w:t>
      </w:r>
      <w:r>
        <w:t xml:space="preserve">in this conversation follows from it. We hold one expectation, and it comes from</w:t>
      </w:r>
      <w:r>
        <w:t xml:space="preserve"> </w:t>
      </w:r>
      <w:r>
        <w:t xml:space="preserve">the work this fellowship is built on: if you come wanting to hear and obey</w:t>
      </w:r>
      <w:r>
        <w:t xml:space="preserve"> </w:t>
      </w:r>
      <w:r>
        <w:t xml:space="preserve">Christ, and you are willing to bring what blocks you into the light, with</w:t>
      </w:r>
      <w:r>
        <w:t xml:space="preserve"> </w:t>
      </w:r>
      <w:r>
        <w:t xml:space="preserve">Scripture open on the table, a few people beside you who know your name, and</w:t>
      </w:r>
      <w:r>
        <w:t xml:space="preserve"> </w:t>
      </w:r>
      <w:r>
        <w:t xml:space="preserve">trusted eyes over this group who can see how it is going — then the door will be</w:t>
      </w:r>
      <w:r>
        <w:t xml:space="preserve"> </w:t>
      </w:r>
      <w:r>
        <w:t xml:space="preserve">open for the Holy Spirit to do the clearing, as He wills, and the way God’s love</w:t>
      </w:r>
      <w:r>
        <w:t xml:space="preserve"> </w:t>
      </w:r>
      <w:r>
        <w:t xml:space="preserve">works, which the Scriptures have described all along, will start to work in your</w:t>
      </w:r>
      <w:r>
        <w:t xml:space="preserve"> </w:t>
      </w:r>
      <w:r>
        <w:t xml:space="preserve">family the way it was written,</w:t>
      </w:r>
      <w:r>
        <w:t xml:space="preserve"> </w:t>
      </w:r>
      <w:r>
        <w:t xml:space="preserve">setting you on an intentional path to grow up into Christ, into hearing and</w:t>
      </w:r>
      <w:r>
        <w:t xml:space="preserve"> </w:t>
      </w:r>
      <w:r>
        <w:t xml:space="preserve">obeying Him in everything. Notice what that sentence</w:t>
      </w:r>
      <w:r>
        <w:t xml:space="preserve"> </w:t>
      </w:r>
      <w:r>
        <w:t xml:space="preserve">does not say. It does not say the Companions change anyone. It does not say the</w:t>
      </w:r>
      <w:r>
        <w:t xml:space="preserve"> </w:t>
      </w:r>
      <w:r>
        <w:t xml:space="preserve">exercises change anyone. Nothing in this room is a lever. Everything in this room</w:t>
      </w:r>
      <w:r>
        <w:t xml:space="preserve"> </w:t>
      </w:r>
      <w:r>
        <w:t xml:space="preserve">only opens a door, and the Spirit walks through it, or does not, in His time. If</w:t>
      </w:r>
      <w:r>
        <w:t xml:space="preserve"> </w:t>
      </w:r>
      <w:r>
        <w:t xml:space="preserve">that expectation is one your family can share — even as a hope, even with honest</w:t>
      </w:r>
      <w:r>
        <w:t xml:space="preserve"> </w:t>
      </w:r>
      <w:r>
        <w:t xml:space="preserve">doubts — this series is for you. If it is not, the most faithful thing you can do</w:t>
      </w:r>
      <w:r>
        <w:t xml:space="preserve"> </w:t>
      </w:r>
      <w:r>
        <w:t xml:space="preserve">is say so tonight, and no one will think less of you for it.</w:t>
      </w:r>
    </w:p>
    <w:bookmarkEnd w:id="13"/>
    <w:bookmarkStart w:id="14" w:name="X4b8eb8bc05e5a2ea71e7eb89f2b019fdf1fdc96"/>
    <w:p>
      <w:pPr>
        <w:pStyle w:val="Heading2"/>
      </w:pPr>
      <w:r>
        <w:t xml:space="preserve">II.B — Handbook: why the meeting has this shape</w:t>
      </w:r>
    </w:p>
    <w:p>
      <w:pPr>
        <w:pStyle w:val="FirstParagraph"/>
      </w:pPr>
      <w:r>
        <w:t xml:space="preserve">[</w:t>
      </w:r>
      <w:r>
        <w:rPr>
          <w:i/>
          <w:iCs/>
        </w:rPr>
        <w:t xml:space="preserve">Getting Started Handbook</w:t>
      </w:r>
      <w:r>
        <w:t xml:space="preserve">, Section 1, as a new short subsection immediately</w:t>
      </w:r>
      <w:r>
        <w:t xml:space="preserve"> </w:t>
      </w:r>
      <w:r>
        <w:t xml:space="preserve">after</w:t>
      </w:r>
      <w:r>
        <w:t xml:space="preserve"> </w:t>
      </w:r>
      <w:r>
        <w:t xml:space="preserve">“The big idea.”</w:t>
      </w:r>
      <w:r>
        <w:t xml:space="preserve"> </w:t>
      </w:r>
      <w:r>
        <w:t xml:space="preserve">Companion-facing. This is the rationale spine: it exists so</w:t>
      </w:r>
      <w:r>
        <w:t xml:space="preserve"> </w:t>
      </w:r>
      <w:r>
        <w:t xml:space="preserve">the format survives adaptation — when a future team proposes dropping a piece,</w:t>
      </w:r>
      <w:r>
        <w:t xml:space="preserve"> </w:t>
      </w:r>
      <w:r>
        <w:t xml:space="preserve">this page makes visible which clause they are removing.]</w:t>
      </w:r>
    </w:p>
    <w:p>
      <w:pPr>
        <w:pStyle w:val="BodyText"/>
      </w:pPr>
      <w:r>
        <w:rPr>
          <w:b/>
          <w:bCs/>
        </w:rPr>
        <w:t xml:space="preserve">Why the meeting has this shape.</w:t>
      </w:r>
      <w:r>
        <w:t xml:space="preserve"> </w:t>
      </w:r>
      <w:r>
        <w:t xml:space="preserve">The series rests on one expectation, stated in</w:t>
      </w:r>
      <w:r>
        <w:t xml:space="preserve"> </w:t>
      </w:r>
      <w:r>
        <w:t xml:space="preserve">the work this fellowship comes from: if you want to hear and obey Christ, and you</w:t>
      </w:r>
      <w:r>
        <w:t xml:space="preserve"> </w:t>
      </w:r>
      <w:r>
        <w:t xml:space="preserve">bring what blocks you into the light, with the Word open, a few brothers or</w:t>
      </w:r>
      <w:r>
        <w:t xml:space="preserve"> </w:t>
      </w:r>
      <w:r>
        <w:t xml:space="preserve">sisters beside you, and someone over you who can see your life, the door will be</w:t>
      </w:r>
      <w:r>
        <w:t xml:space="preserve"> </w:t>
      </w:r>
      <w:r>
        <w:t xml:space="preserve">open for the Holy Spirit to clear the way as he wills, and the laws written down</w:t>
      </w:r>
      <w:r>
        <w:t xml:space="preserve"> </w:t>
      </w:r>
      <w:r>
        <w:t xml:space="preserve">in Volume 1 will start to work in you the way they were written such that you are</w:t>
      </w:r>
      <w:r>
        <w:t xml:space="preserve"> </w:t>
      </w:r>
      <w:r>
        <w:t xml:space="preserve">on an intentional path to grow up into Christ, into hearing and obeying Christ in</w:t>
      </w:r>
      <w:r>
        <w:t xml:space="preserve"> </w:t>
      </w:r>
      <w:r>
        <w:t xml:space="preserve">everything. Every fixed element of the session is one clause of that sentence,</w:t>
      </w:r>
      <w:r>
        <w:t xml:space="preserve"> </w:t>
      </w:r>
      <w:r>
        <w:t xml:space="preserve">built into furniture: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You want to hear and obey Christ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Intentional</w:t>
      </w:r>
      <w:r>
        <w:t xml:space="preserve"> </w:t>
      </w:r>
      <w:r>
        <w:t xml:space="preserve">condition — the spoken</w:t>
      </w:r>
      <w:r>
        <w:t xml:space="preserve"> </w:t>
      </w:r>
      <w:r>
        <w:t xml:space="preserve">commitment at the open, and the permission conversation before any instrument.</w:t>
      </w:r>
      <w:r>
        <w:t xml:space="preserve"> </w:t>
      </w:r>
      <w:r>
        <w:t xml:space="preserve">Consent is not paperwork here; it is the first clause of the expectation.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You bring what blocks you into the light</w:t>
      </w:r>
      <w:r>
        <w:t xml:space="preserve"> </w:t>
      </w:r>
      <w:r>
        <w:t xml:space="preserve">is the shared circle and the</w:t>
      </w:r>
      <w:r>
        <w:t xml:space="preserve"> </w:t>
      </w:r>
      <w:r>
        <w:t xml:space="preserve">graduated year — Week 1 asks for one true sentence, and the container grows</w:t>
      </w:r>
      <w:r>
        <w:t xml:space="preserve"> </w:t>
      </w:r>
      <w:r>
        <w:t xml:space="preserve">safe before it is asked to be brave.</w:t>
      </w:r>
      <w:r>
        <w:t xml:space="preserve"> </w:t>
      </w:r>
      <w:r>
        <w:rPr>
          <w:i/>
          <w:iCs/>
        </w:rPr>
        <w:t xml:space="preserve">Safe</w:t>
      </w:r>
      <w:r>
        <w:t xml:space="preserve">,</w:t>
      </w:r>
      <w:r>
        <w:t xml:space="preserve"> </w:t>
      </w:r>
      <w:r>
        <w:rPr>
          <w:i/>
          <w:iCs/>
        </w:rPr>
        <w:t xml:space="preserve">Present</w:t>
      </w:r>
      <w:r>
        <w:t xml:space="preserve">, and</w:t>
      </w:r>
      <w:r>
        <w:t xml:space="preserve"> </w:t>
      </w:r>
      <w:r>
        <w:rPr>
          <w:i/>
          <w:iCs/>
        </w:rPr>
        <w:t xml:space="preserve">Clear</w:t>
      </w:r>
      <w:r>
        <w:t xml:space="preserve"> </w:t>
      </w:r>
      <w:r>
        <w:t xml:space="preserve">exist so</w:t>
      </w:r>
      <w:r>
        <w:t xml:space="preserve"> </w:t>
      </w:r>
      <w:r>
        <w:t xml:space="preserve">that bringing things into the light is answerable.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With the Word open</w:t>
      </w:r>
      <w:r>
        <w:t xml:space="preserve"> </w:t>
      </w:r>
      <w:r>
        <w:t xml:space="preserve">is the hearing practices — Heart Bible Study, PROAPT, the</w:t>
      </w:r>
      <w:r>
        <w:t xml:space="preserve"> </w:t>
      </w:r>
      <w:r>
        <w:t xml:space="preserve">passage on the table every week. The Word is not curriculum decoration; it is</w:t>
      </w:r>
      <w:r>
        <w:t xml:space="preserve"> </w:t>
      </w:r>
      <w:r>
        <w:t xml:space="preserve">the instrument the Spirit has said He uses.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A few brothers or sisters beside you</w:t>
      </w:r>
      <w:r>
        <w:t xml:space="preserve"> </w:t>
      </w:r>
      <w:r>
        <w:t xml:space="preserve">is the cohort itself — families</w:t>
      </w:r>
      <w:r>
        <w:t xml:space="preserve"> </w:t>
      </w:r>
      <w:r>
        <w:t xml:space="preserve">together, clusters small enough that every person is known by name and missed</w:t>
      </w:r>
      <w:r>
        <w:t xml:space="preserve"> </w:t>
      </w:r>
      <w:r>
        <w:t xml:space="preserve">by name.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Someone over you who can see your life</w:t>
      </w:r>
      <w:r>
        <w:t xml:space="preserve"> </w:t>
      </w:r>
      <w:r>
        <w:t xml:space="preserve">is the Companion team, the Thursday</w:t>
      </w:r>
      <w:r>
        <w:t xml:space="preserve"> </w:t>
      </w:r>
      <w:r>
        <w:t xml:space="preserve">Call, the covering in Section 3, and the door out with a name on it. No one in</w:t>
      </w:r>
      <w:r>
        <w:t xml:space="preserve"> </w:t>
      </w:r>
      <w:r>
        <w:t xml:space="preserve">this work leads uncovered, and no participant walks unwatched.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 door will be open for the Spirit to clear the way as he wills</w:t>
      </w:r>
      <w:r>
        <w:t xml:space="preserve"> </w:t>
      </w:r>
      <w:r>
        <w:t xml:space="preserve">is the</w:t>
      </w:r>
      <w:r>
        <w:t xml:space="preserve"> </w:t>
      </w:r>
      <w:r>
        <w:t xml:space="preserve">reason every practice carries a pass and nothing is ever forced. The</w:t>
      </w:r>
      <w:r>
        <w:t xml:space="preserve"> </w:t>
      </w:r>
      <w:r>
        <w:t xml:space="preserve">Companions plant and water. God gives the growth</w:t>
      </w:r>
      <w:r>
        <w:t xml:space="preserve"> </w:t>
      </w:r>
      <w:r>
        <w:t xml:space="preserve">(1 Cor. 3:6–7). The moment any element of this series starts to feel like a</w:t>
      </w:r>
      <w:r>
        <w:t xml:space="preserve"> </w:t>
      </w:r>
      <w:r>
        <w:t xml:space="preserve">lever, set it down and come back to Him.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 laws will start to work</w:t>
      </w:r>
      <w:r>
        <w:t xml:space="preserve"> </w:t>
      </w:r>
      <w:r>
        <w:t xml:space="preserve">is what the three vital signs watch for and what</w:t>
      </w:r>
      <w:r>
        <w:t xml:space="preserve"> </w:t>
      </w:r>
      <w:r>
        <w:t xml:space="preserve">the outcomes in Section 1 describe — not compliance with a program, but the</w:t>
      </w:r>
      <w:r>
        <w:t xml:space="preserve"> </w:t>
      </w:r>
      <w:r>
        <w:t xml:space="preserve">quiet evidence that something upstream has been unblocked.</w:t>
      </w:r>
    </w:p>
    <w:p>
      <w:pPr>
        <w:pStyle w:val="FirstParagraph"/>
      </w:pPr>
      <w:r>
        <w:t xml:space="preserve">Hold this page loosely and the schedule tightly. The blocks can move; the clauses</w:t>
      </w:r>
      <w:r>
        <w:t xml:space="preserve"> </w:t>
      </w:r>
      <w:r>
        <w:t xml:space="preserve">cannot, because the expectation is only as good as its conditions.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what-i-am-asking-of-the-council"/>
    <w:p>
      <w:pPr>
        <w:pStyle w:val="Heading1"/>
      </w:pPr>
      <w:r>
        <w:t xml:space="preserve">What I am asking of the Council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 Part I (decision, within ask 3):</w:t>
      </w:r>
      <w:r>
        <w:t xml:space="preserve"> </w:t>
      </w:r>
      <w:r>
        <w:t xml:space="preserve">when you answer ask 3, treat these two</w:t>
      </w:r>
      <w:r>
        <w:t xml:space="preserve"> </w:t>
      </w:r>
      <w:r>
        <w:t xml:space="preserve">placements as part of the same answer. Approve, reshape, or decline them with</w:t>
      </w:r>
      <w:r>
        <w:t xml:space="preserve"> </w:t>
      </w:r>
      <w:r>
        <w:t xml:space="preserve">the sentence itself.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 Part II (counsel):</w:t>
      </w:r>
      <w:r>
        <w:t xml:space="preserve"> </w:t>
      </w:r>
      <w:r>
        <w:t xml:space="preserve">speak into it. Is the expectation stated honestly for</w:t>
      </w:r>
      <w:r>
        <w:t xml:space="preserve"> </w:t>
      </w:r>
      <w:r>
        <w:t xml:space="preserve">families? Is there anything in the precohort framing a parent should hear</w:t>
      </w:r>
      <w:r>
        <w:t xml:space="preserve"> </w:t>
      </w:r>
      <w:r>
        <w:t xml:space="preserve">differently? The production decision and its timing remain with me, and I will</w:t>
      </w:r>
      <w:r>
        <w:t xml:space="preserve"> </w:t>
      </w:r>
      <w:r>
        <w:t xml:space="preserve">hold FotH publication until the Volume 2 wording is settled, for coherence —</w:t>
      </w:r>
      <w:r>
        <w:t xml:space="preserve"> </w:t>
      </w:r>
      <w:r>
        <w:t xml:space="preserve">not because consent is required.</w:t>
      </w:r>
    </w:p>
    <w:p>
      <w:pPr>
        <w:pStyle w:val="FirstParagraph"/>
      </w:pPr>
      <w:r>
        <w:rPr>
          <w:i/>
          <w:iCs/>
        </w:rPr>
        <w:t xml:space="preserve">Prepared for John’s review, 7 September 2026. Nothing above is in the published</w:t>
      </w:r>
      <w:r>
        <w:rPr>
          <w:i/>
          <w:iCs/>
        </w:rPr>
        <w:t xml:space="preserve"> </w:t>
      </w:r>
      <w:r>
        <w:rPr>
          <w:i/>
          <w:iCs/>
        </w:rPr>
        <w:t xml:space="preserve">volumes or in the FotH materials; Part I is held with ask 3; Part II awaits John’s</w:t>
      </w:r>
      <w:r>
        <w:rPr>
          <w:i/>
          <w:iCs/>
        </w:rPr>
        <w:t xml:space="preserve"> </w:t>
      </w:r>
      <w:r>
        <w:rPr>
          <w:i/>
          <w:iCs/>
        </w:rPr>
        <w:t xml:space="preserve">own word.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Theory of Action — Where Else It Lives</dc:title>
  <dc:creator>John G. Tittle</dc:creator>
  <cp:keywords/>
  <dcterms:created xsi:type="dcterms:W3CDTF">2026-09-08T21:48:29Z</dcterms:created>
  <dcterms:modified xsi:type="dcterms:W3CDTF">2026-09-08T21:48:29Z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Draft v1 — 7 September 2026, for the 4 October Council meeting</vt:lpwstr>
  </property>
  <property fmtid="{D5CDD505-2E9C-101B-9397-08002B2CF9AE}" pid="3" name="subtitle">
    <vt:lpwstr>Placements in Volumes 1 and 4, and in the Fellowship of the Heart materials</vt:lpwstr>
  </property>
</Properties>
</file>