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6"/>
          <w:szCs w:val="36"/>
        </w:rPr>
        <w:t xml:space="preserve">Drafting Pass — Five New Foundational Laws</w:t>
      </w:r>
    </w:p>
    <w:p>
      <w:pPr>
        <w:spacing w:after="60"/>
        <w:jc w:val="center"/>
      </w:pPr>
      <w:r>
        <w:rPr>
          <w:b/>
          <w:bCs/>
          <w:color w:val="2E5496"/>
          <w:sz w:val="26"/>
          <w:szCs w:val="26"/>
        </w:rPr>
        <w:t xml:space="preserve">The “Hear and Obey God” Line</w:t>
      </w:r>
    </w:p>
    <w:p>
      <w:pPr>
        <w:spacing w:after="220"/>
        <w:jc w:val="center"/>
      </w:pPr>
      <w:r>
        <w:rPr>
          <w:i/>
          <w:iCs/>
          <w:color w:val="555555"/>
          <w:sz w:val="20"/>
          <w:szCs w:val="20"/>
        </w:rPr>
        <w:t xml:space="preserve">IJH · 2026-06-15 · DRAFTS for review — not applied to the manuscript</w:t>
      </w:r>
    </w:p>
    <w:p>
      <w:pPr>
        <w:spacing w:after="120"/>
      </w:pPr>
      <w:r>
        <w:rPr>
          <w:sz w:val="22"/>
          <w:szCs w:val="22"/>
        </w:rPr>
        <w:t xml:space="preserve">These are chapter-ready drafts for the five laws recommended for outright addition, written in the Volume 1 register (plain enough for a scripturally competent teen; divine pronouns capitalized; ESV quotations verbatim). Each carries its proposed catalog attributes, Scriptural Ground, Mechanism, Mirror, a Proposed Law statement, and a Certainty line.</w:t>
      </w:r>
    </w:p>
    <w:p>
      <w:pPr>
        <w:spacing w:after="120"/>
      </w:pPr>
      <w:r>
        <w:rPr>
          <w:sz w:val="22"/>
          <w:szCs w:val="22"/>
        </w:rPr>
        <w:t xml:space="preserve">Suggested numerals FL.XLVII–LI are provisional — final numbering and placement are the author's call. They would extend the “newer / still-being-tested” tier (the eight laws FL.XXXIX–XLVI). A “word from your Granddaddy” aside is left for John to dictate where wanted. No manuscript or table files have been changed.</w:t>
      </w:r>
    </w:p>
    <w:p>
      <w:pPr>
        <w:pStyle w:val="Heading1"/>
      </w:pPr>
      <w:r>
        <w:t xml:space="preserve">Proposed FL.XLVII — The Indwelling-Word Law</w:t>
      </w:r>
    </w:p>
    <w:p>
      <w:pPr>
        <w:spacing w:after="80"/>
      </w:pPr>
      <w:r>
        <w:rPr>
          <w:b/>
          <w:bCs/>
          <w:i/>
          <w:iCs/>
          <w:color w:val="1F6B2E"/>
          <w:sz w:val="20"/>
          <w:szCs w:val="20"/>
        </w:rPr>
        <w:t xml:space="preserve">Direct line to hear-and-obey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EEF3F8" w:val="clear"/>
            <w:tcMar>
              <w:top w:type="dxa" w:w="50"/>
              <w:left w:type="dxa" w:w="110"/>
              <w:bottom w:type="dxa" w:w="50"/>
              <w:right w:type="dxa" w:w="110"/>
            </w:tcMar>
          </w:tcPr>
          <w:p>
            <w:r>
              <w:rPr>
                <w:b/>
                <w:bCs/>
                <w:sz w:val="18"/>
                <w:szCs w:val="18"/>
              </w:rPr>
              <w:t xml:space="preserve">Suggested cell</w:t>
            </w:r>
          </w:p>
        </w:tc>
        <w:tc>
          <w:tcPr>
            <w:tcW w:type="dxa" w:w="69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b w:val="false"/>
                <w:bCs w:val="false"/>
                <w:sz w:val="18"/>
                <w:szCs w:val="18"/>
              </w:rPr>
              <w:t xml:space="preserve">P0/GIV (Mind &amp; Will) — fills the catalog's empty cell</w:t>
            </w:r>
          </w:p>
        </w:tc>
      </w:tr>
      <w:tr>
        <w:tc>
          <w:tcPr>
            <w:tcW w:type="dxa" w:w="2400"/>
            <w:tcBorders>
              <w:top w:val="single" w:color="BBBBBB" w:sz="1"/>
              <w:left w:val="single" w:color="BBBBBB" w:sz="1"/>
              <w:bottom w:val="single" w:color="BBBBBB" w:sz="1"/>
              <w:right w:val="single" w:color="BBBBBB" w:sz="1"/>
            </w:tcBorders>
            <w:shd w:fill="EEF3F8" w:val="clear"/>
            <w:tcMar>
              <w:top w:type="dxa" w:w="50"/>
              <w:left w:type="dxa" w:w="110"/>
              <w:bottom w:type="dxa" w:w="50"/>
              <w:right w:type="dxa" w:w="110"/>
            </w:tcMar>
          </w:tcPr>
          <w:p>
            <w:r>
              <w:rPr>
                <w:b/>
                <w:bCs/>
                <w:sz w:val="18"/>
                <w:szCs w:val="18"/>
              </w:rPr>
              <w:t xml:space="preserve">Directionality</w:t>
            </w:r>
          </w:p>
        </w:tc>
        <w:tc>
          <w:tcPr>
            <w:tcW w:type="dxa" w:w="69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b w:val="false"/>
                <w:bCs w:val="false"/>
                <w:sz w:val="18"/>
                <w:szCs w:val="18"/>
              </w:rPr>
              <w:t xml:space="preserve">V (Vertical)</w:t>
            </w:r>
          </w:p>
        </w:tc>
      </w:tr>
      <w:tr>
        <w:tc>
          <w:tcPr>
            <w:tcW w:type="dxa" w:w="2400"/>
            <w:tcBorders>
              <w:top w:val="single" w:color="BBBBBB" w:sz="1"/>
              <w:left w:val="single" w:color="BBBBBB" w:sz="1"/>
              <w:bottom w:val="single" w:color="BBBBBB" w:sz="1"/>
              <w:right w:val="single" w:color="BBBBBB" w:sz="1"/>
            </w:tcBorders>
            <w:shd w:fill="EEF3F8" w:val="clear"/>
            <w:tcMar>
              <w:top w:type="dxa" w:w="50"/>
              <w:left w:type="dxa" w:w="110"/>
              <w:bottom w:type="dxa" w:w="50"/>
              <w:right w:type="dxa" w:w="110"/>
            </w:tcMar>
          </w:tcPr>
          <w:p>
            <w:r>
              <w:rPr>
                <w:b/>
                <w:bCs/>
                <w:sz w:val="18"/>
                <w:szCs w:val="18"/>
              </w:rPr>
              <w:t xml:space="preserve">Confidence</w:t>
            </w:r>
          </w:p>
        </w:tc>
        <w:tc>
          <w:tcPr>
            <w:tcW w:type="dxa" w:w="69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b w:val="false"/>
                <w:bCs w:val="false"/>
                <w:sz w:val="18"/>
                <w:szCs w:val="18"/>
              </w:rPr>
              <w:t xml:space="preserve">Clearly Taught</w:t>
            </w:r>
          </w:p>
        </w:tc>
      </w:tr>
      <w:tr>
        <w:tc>
          <w:tcPr>
            <w:tcW w:type="dxa" w:w="2400"/>
            <w:tcBorders>
              <w:top w:val="single" w:color="BBBBBB" w:sz="1"/>
              <w:left w:val="single" w:color="BBBBBB" w:sz="1"/>
              <w:bottom w:val="single" w:color="BBBBBB" w:sz="1"/>
              <w:right w:val="single" w:color="BBBBBB" w:sz="1"/>
            </w:tcBorders>
            <w:shd w:fill="EEF3F8" w:val="clear"/>
            <w:tcMar>
              <w:top w:type="dxa" w:w="50"/>
              <w:left w:type="dxa" w:w="110"/>
              <w:bottom w:type="dxa" w:w="50"/>
              <w:right w:type="dxa" w:w="110"/>
            </w:tcMar>
          </w:tcPr>
          <w:p>
            <w:r>
              <w:rPr>
                <w:b/>
                <w:bCs/>
                <w:sz w:val="18"/>
                <w:szCs w:val="18"/>
              </w:rPr>
              <w:t xml:space="preserve">Band</w:t>
            </w:r>
          </w:p>
        </w:tc>
        <w:tc>
          <w:tcPr>
            <w:tcW w:type="dxa" w:w="69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b w:val="false"/>
                <w:bCs w:val="false"/>
                <w:sz w:val="18"/>
                <w:szCs w:val="18"/>
              </w:rPr>
              <w:t xml:space="preserve">Band 2 (principle + a scripturally-specified pathway: meditation / indwelling)</w:t>
            </w:r>
          </w:p>
        </w:tc>
      </w:tr>
      <w:tr>
        <w:tc>
          <w:tcPr>
            <w:tcW w:type="dxa" w:w="2400"/>
            <w:tcBorders>
              <w:top w:val="single" w:color="BBBBBB" w:sz="1"/>
              <w:left w:val="single" w:color="BBBBBB" w:sz="1"/>
              <w:bottom w:val="single" w:color="BBBBBB" w:sz="1"/>
              <w:right w:val="single" w:color="BBBBBB" w:sz="1"/>
            </w:tcBorders>
            <w:shd w:fill="EEF3F8" w:val="clear"/>
            <w:tcMar>
              <w:top w:type="dxa" w:w="50"/>
              <w:left w:type="dxa" w:w="110"/>
              <w:bottom w:type="dxa" w:w="50"/>
              <w:right w:type="dxa" w:w="110"/>
            </w:tcMar>
          </w:tcPr>
          <w:p>
            <w:r>
              <w:rPr>
                <w:b/>
                <w:bCs/>
                <w:sz w:val="18"/>
                <w:szCs w:val="18"/>
              </w:rPr>
              <w:t xml:space="preserve">Layer</w:t>
            </w:r>
          </w:p>
        </w:tc>
        <w:tc>
          <w:tcPr>
            <w:tcW w:type="dxa" w:w="69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b w:val="false"/>
                <w:bCs w:val="false"/>
                <w:sz w:val="18"/>
                <w:szCs w:val="18"/>
              </w:rPr>
              <w:t xml:space="preserve">Substrate (a continuous condition)</w:t>
            </w:r>
          </w:p>
        </w:tc>
      </w:tr>
      <w:tr>
        <w:tc>
          <w:tcPr>
            <w:tcW w:type="dxa" w:w="2400"/>
            <w:tcBorders>
              <w:top w:val="single" w:color="BBBBBB" w:sz="1"/>
              <w:left w:val="single" w:color="BBBBBB" w:sz="1"/>
              <w:bottom w:val="single" w:color="BBBBBB" w:sz="1"/>
              <w:right w:val="single" w:color="BBBBBB" w:sz="1"/>
            </w:tcBorders>
            <w:shd w:fill="EEF3F8" w:val="clear"/>
            <w:tcMar>
              <w:top w:type="dxa" w:w="50"/>
              <w:left w:type="dxa" w:w="110"/>
              <w:bottom w:type="dxa" w:w="50"/>
              <w:right w:type="dxa" w:w="110"/>
            </w:tcMar>
          </w:tcPr>
          <w:p>
            <w:r>
              <w:rPr>
                <w:b/>
                <w:bCs/>
                <w:sz w:val="18"/>
                <w:szCs w:val="18"/>
              </w:rPr>
              <w:t xml:space="preserve">Operator</w:t>
            </w:r>
          </w:p>
        </w:tc>
        <w:tc>
          <w:tcPr>
            <w:tcW w:type="dxa" w:w="69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b w:val="false"/>
                <w:bCs w:val="false"/>
                <w:sz w:val="18"/>
                <w:szCs w:val="18"/>
              </w:rPr>
              <w:t xml:space="preserve">P, with an S+P undertone (the word itself works)</w:t>
            </w:r>
          </w:p>
        </w:tc>
      </w:tr>
      <w:tr>
        <w:tc>
          <w:tcPr>
            <w:tcW w:type="dxa" w:w="2400"/>
            <w:tcBorders>
              <w:top w:val="single" w:color="BBBBBB" w:sz="1"/>
              <w:left w:val="single" w:color="BBBBBB" w:sz="1"/>
              <w:bottom w:val="single" w:color="BBBBBB" w:sz="1"/>
              <w:right w:val="single" w:color="BBBBBB" w:sz="1"/>
            </w:tcBorders>
            <w:shd w:fill="EEF3F8" w:val="clear"/>
            <w:tcMar>
              <w:top w:type="dxa" w:w="50"/>
              <w:left w:type="dxa" w:w="110"/>
              <w:bottom w:type="dxa" w:w="50"/>
              <w:right w:type="dxa" w:w="110"/>
            </w:tcMar>
          </w:tcPr>
          <w:p>
            <w:r>
              <w:rPr>
                <w:b/>
                <w:bCs/>
                <w:sz w:val="18"/>
                <w:szCs w:val="18"/>
              </w:rPr>
              <w:t xml:space="preserve">Mirror field</w:t>
            </w:r>
          </w:p>
        </w:tc>
        <w:tc>
          <w:tcPr>
            <w:tcW w:type="dxa" w:w="69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b w:val="false"/>
                <w:bCs w:val="false"/>
                <w:sz w:val="18"/>
                <w:szCs w:val="18"/>
              </w:rPr>
              <w:t xml:space="preserve">Mirror statement</w:t>
            </w:r>
          </w:p>
        </w:tc>
      </w:tr>
    </w:tbl>
    <w:p>
      <w:pPr>
        <w:spacing w:before="120"/>
      </w:pPr>
    </w:p>
    <w:p>
      <w:pPr>
        <w:spacing w:after="120"/>
      </w:pPr>
      <w:r>
        <w:rPr>
          <w:sz w:val="22"/>
          <w:szCs w:val="22"/>
        </w:rPr>
        <w:t xml:space="preserve">This law is about what happens when God's word does not just pass through you but stays — when you keep living in it and let it live in you. Hearing the word starts the work; letting it make its home in you is what finishes it. The claim is simple: the person in whom God's word abides becomes settled as a disciple, comes to know the truth that sets free, and bears fruit that lasts.</w:t>
      </w:r>
    </w:p>
    <w:p>
      <w:pPr>
        <w:pStyle w:val="Heading2"/>
      </w:pPr>
      <w:r>
        <w:t xml:space="preserve">The Scriptural Ground</w:t>
      </w:r>
    </w:p>
    <w:p>
      <w:pPr>
        <w:spacing w:after="20"/>
      </w:pPr>
      <w:r>
        <w:rPr>
          <w:b/>
          <w:bCs/>
          <w:i/>
          <w:iCs/>
          <w:sz w:val="20"/>
          <w:szCs w:val="20"/>
        </w:rPr>
        <w:t xml:space="preserve">John 8:31-32 (ESV)</w:t>
      </w:r>
    </w:p>
    <w:p>
      <w:pPr>
        <w:spacing w:after="120"/>
      </w:pPr>
      <w:r>
        <w:rPr>
          <w:i/>
          <w:iCs/>
          <w:sz w:val="20"/>
          <w:szCs w:val="20"/>
        </w:rPr>
        <w:t xml:space="preserve">“If you abide in my word, you are truly my disciples, and you will know the truth, and the truth will set you free.”</w:t>
      </w:r>
    </w:p>
    <w:p>
      <w:pPr>
        <w:spacing w:after="20"/>
      </w:pPr>
      <w:r>
        <w:rPr>
          <w:b/>
          <w:bCs/>
          <w:i/>
          <w:iCs/>
          <w:sz w:val="20"/>
          <w:szCs w:val="20"/>
        </w:rPr>
        <w:t xml:space="preserve">Colossians 3:16 (ESV)</w:t>
      </w:r>
    </w:p>
    <w:p>
      <w:pPr>
        <w:spacing w:after="120"/>
      </w:pPr>
      <w:r>
        <w:rPr>
          <w:i/>
          <w:iCs/>
          <w:sz w:val="20"/>
          <w:szCs w:val="20"/>
        </w:rPr>
        <w:t xml:space="preserve">“Let the word of Christ dwell in you richly, teaching and admonishing one another in all wisdom...”</w:t>
      </w:r>
    </w:p>
    <w:p>
      <w:pPr>
        <w:spacing w:after="20"/>
      </w:pPr>
      <w:r>
        <w:rPr>
          <w:b/>
          <w:bCs/>
          <w:i/>
          <w:iCs/>
          <w:sz w:val="20"/>
          <w:szCs w:val="20"/>
        </w:rPr>
        <w:t xml:space="preserve">Psalm 1:2-3 (ESV)</w:t>
      </w:r>
    </w:p>
    <w:p>
      <w:pPr>
        <w:spacing w:after="120"/>
      </w:pPr>
      <w:r>
        <w:rPr>
          <w:i/>
          <w:iCs/>
          <w:sz w:val="20"/>
          <w:szCs w:val="20"/>
        </w:rPr>
        <w:t xml:space="preserve">“...but his delight is in the law of the Lord, and on his law he meditates day and night. He is like a tree planted by streams of water that yields its fruit in its season, and its leaf does not wither.”</w:t>
      </w:r>
    </w:p>
    <w:p>
      <w:pPr>
        <w:spacing w:after="20"/>
      </w:pPr>
      <w:r>
        <w:rPr>
          <w:b/>
          <w:bCs/>
          <w:i/>
          <w:iCs/>
          <w:sz w:val="20"/>
          <w:szCs w:val="20"/>
        </w:rPr>
        <w:t xml:space="preserve">Joshua 1:8 (ESV)</w:t>
      </w:r>
    </w:p>
    <w:p>
      <w:pPr>
        <w:spacing w:after="120"/>
      </w:pPr>
      <w:r>
        <w:rPr>
          <w:i/>
          <w:iCs/>
          <w:sz w:val="20"/>
          <w:szCs w:val="20"/>
        </w:rPr>
        <w:t xml:space="preserve">“This Book of the Law shall not depart from your mouth, but you shall meditate on it day and night, so that you may be careful to do according to all that is written in it.”</w:t>
      </w:r>
    </w:p>
    <w:p>
      <w:pPr>
        <w:pStyle w:val="Heading2"/>
      </w:pPr>
      <w:r>
        <w:t xml:space="preserve">The Mechanism</w:t>
      </w:r>
    </w:p>
    <w:p>
      <w:pPr>
        <w:spacing w:after="120"/>
      </w:pPr>
      <w:r>
        <w:rPr>
          <w:sz w:val="22"/>
          <w:szCs w:val="22"/>
        </w:rPr>
        <w:t xml:space="preserve">Two things stand out. First, the key word is abide — to stay, to keep on, to make a home. Jesus does not say “those who heard my word once” but “if you abide in my word.” The word has to be returned to, lived in, kept.</w:t>
      </w:r>
    </w:p>
    <w:p>
      <w:pPr>
        <w:spacing w:after="120"/>
      </w:pPr>
      <w:r>
        <w:rPr>
          <w:sz w:val="22"/>
          <w:szCs w:val="22"/>
        </w:rPr>
        <w:t xml:space="preserve">Second, an abiding word does its own work: it teaches, it frees, it grows fruit. Like a tree planted by water (Ps. 1), the person rooted in the word is not straining to produce fruit; the fruit comes because of where the roots are. That is why this law sits underneath the others as a continuous condition rather than a one-time event.</w:t>
      </w:r>
    </w:p>
    <w:p>
      <w:pPr>
        <w:pStyle w:val="Heading2"/>
      </w:pPr>
      <w:r>
        <w:t xml:space="preserve">The Mirror</w:t>
      </w:r>
    </w:p>
    <w:p>
      <w:pPr>
        <w:spacing w:after="120"/>
      </w:pPr>
      <w:r>
        <w:rPr>
          <w:sz w:val="22"/>
          <w:szCs w:val="22"/>
        </w:rPr>
        <w:t xml:space="preserve">The dark side is the word that never gets to stay — crowded out by the thorns of worry and wealth so it bears nothing (the Sower, Mark 4:18-19), or swapped out for teachers who tell us what our “itching ears” want to hear (2 Tim. 4:3). The test is not how much word has passed through you, but how much of it has stayed and made a home.</w:t>
      </w:r>
    </w:p>
    <w:p>
      <w:pPr>
        <w:spacing w:after="120" w:before="80"/>
      </w:pPr>
      <w:r>
        <w:rPr>
          <w:b/>
          <w:bCs/>
          <w:sz w:val="22"/>
          <w:szCs w:val="22"/>
        </w:rPr>
        <w:t xml:space="preserve">Proposed Law (Operational, newer / still-being-tested): Letting God's word abide in you — returned to, kept, and lived in — establishes you as a disciple, brings you to know the freeing truth, and produces lasting fruit; a word that never stays bears nothing. It works at every size, from one person who hides the word in the heart to a community in which the word of Christ dwells richly.</w:t>
      </w:r>
    </w:p>
    <w:p>
      <w:pPr>
        <w:spacing w:after="120"/>
      </w:pPr>
      <w:r>
        <w:rPr>
          <w:i/>
          <w:iCs/>
          <w:sz w:val="21"/>
          <w:szCs w:val="21"/>
        </w:rPr>
        <w:t xml:space="preserve">Certainty: Clearly Taught. Four or more writers across both Testaments (Moses/Joshua, the Psalmist, John, Paul). That the indwelling word bears fruit while a passing word does not is not disputed across traditions; they differ on the practices (meditation, memorization, study) by which the word is kept — which is why this enters at Band 2.</w:t>
      </w:r>
    </w:p>
    <w:p>
      <w:pPr>
        <w:spacing w:after="200"/>
      </w:pPr>
      <w:r>
        <w:rPr>
          <w:i/>
          <w:iCs/>
          <w:color w:val="666666"/>
          <w:sz w:val="19"/>
          <w:szCs w:val="19"/>
        </w:rPr>
        <w:t xml:space="preserve">Editor's note: fills the empty P0/GIV cell. Distinct from FL.XL Abiding-Fruitfulness, where the object is Christ / the vine; here the object is the word.</w:t>
      </w:r>
    </w:p>
    <w:p>
      <w:pPr>
        <w:pStyle w:val="Heading1"/>
      </w:pPr>
      <w:r>
        <w:t xml:space="preserve">Proposed FL.XLVIII — The Reception-Posture Law</w:t>
      </w:r>
    </w:p>
    <w:p>
      <w:pPr>
        <w:spacing w:after="80"/>
      </w:pPr>
      <w:r>
        <w:rPr>
          <w:b/>
          <w:bCs/>
          <w:i/>
          <w:iCs/>
          <w:color w:val="8A6D00"/>
          <w:sz w:val="20"/>
          <w:szCs w:val="20"/>
        </w:rPr>
        <w:t xml:space="preserve">Adjacent line to hear-and-obey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EEF3F8" w:val="clear"/>
            <w:tcMar>
              <w:top w:type="dxa" w:w="50"/>
              <w:left w:type="dxa" w:w="110"/>
              <w:bottom w:type="dxa" w:w="50"/>
              <w:right w:type="dxa" w:w="110"/>
            </w:tcMar>
          </w:tcPr>
          <w:p>
            <w:r>
              <w:rPr>
                <w:b/>
                <w:bCs/>
                <w:sz w:val="18"/>
                <w:szCs w:val="18"/>
              </w:rPr>
              <w:t xml:space="preserve">Suggested cell</w:t>
            </w:r>
          </w:p>
        </w:tc>
        <w:tc>
          <w:tcPr>
            <w:tcW w:type="dxa" w:w="69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b w:val="false"/>
                <w:bCs w:val="false"/>
                <w:sz w:val="18"/>
                <w:szCs w:val="18"/>
              </w:rPr>
              <w:t xml:space="preserve">P1/GII (Heart)</w:t>
            </w:r>
          </w:p>
        </w:tc>
      </w:tr>
      <w:tr>
        <w:tc>
          <w:tcPr>
            <w:tcW w:type="dxa" w:w="2400"/>
            <w:tcBorders>
              <w:top w:val="single" w:color="BBBBBB" w:sz="1"/>
              <w:left w:val="single" w:color="BBBBBB" w:sz="1"/>
              <w:bottom w:val="single" w:color="BBBBBB" w:sz="1"/>
              <w:right w:val="single" w:color="BBBBBB" w:sz="1"/>
            </w:tcBorders>
            <w:shd w:fill="EEF3F8" w:val="clear"/>
            <w:tcMar>
              <w:top w:type="dxa" w:w="50"/>
              <w:left w:type="dxa" w:w="110"/>
              <w:bottom w:type="dxa" w:w="50"/>
              <w:right w:type="dxa" w:w="110"/>
            </w:tcMar>
          </w:tcPr>
          <w:p>
            <w:r>
              <w:rPr>
                <w:b/>
                <w:bCs/>
                <w:sz w:val="18"/>
                <w:szCs w:val="18"/>
              </w:rPr>
              <w:t xml:space="preserve">Directionality</w:t>
            </w:r>
          </w:p>
        </w:tc>
        <w:tc>
          <w:tcPr>
            <w:tcW w:type="dxa" w:w="69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b w:val="false"/>
                <w:bCs w:val="false"/>
                <w:sz w:val="18"/>
                <w:szCs w:val="18"/>
              </w:rPr>
              <w:t xml:space="preserve">V (Vertical)</w:t>
            </w:r>
          </w:p>
        </w:tc>
      </w:tr>
      <w:tr>
        <w:tc>
          <w:tcPr>
            <w:tcW w:type="dxa" w:w="2400"/>
            <w:tcBorders>
              <w:top w:val="single" w:color="BBBBBB" w:sz="1"/>
              <w:left w:val="single" w:color="BBBBBB" w:sz="1"/>
              <w:bottom w:val="single" w:color="BBBBBB" w:sz="1"/>
              <w:right w:val="single" w:color="BBBBBB" w:sz="1"/>
            </w:tcBorders>
            <w:shd w:fill="EEF3F8" w:val="clear"/>
            <w:tcMar>
              <w:top w:type="dxa" w:w="50"/>
              <w:left w:type="dxa" w:w="110"/>
              <w:bottom w:type="dxa" w:w="50"/>
              <w:right w:type="dxa" w:w="110"/>
            </w:tcMar>
          </w:tcPr>
          <w:p>
            <w:r>
              <w:rPr>
                <w:b/>
                <w:bCs/>
                <w:sz w:val="18"/>
                <w:szCs w:val="18"/>
              </w:rPr>
              <w:t xml:space="preserve">Confidence</w:t>
            </w:r>
          </w:p>
        </w:tc>
        <w:tc>
          <w:tcPr>
            <w:tcW w:type="dxa" w:w="69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b w:val="false"/>
                <w:bCs w:val="false"/>
                <w:sz w:val="18"/>
                <w:szCs w:val="18"/>
              </w:rPr>
              <w:t xml:space="preserve">Clearly Taught</w:t>
            </w:r>
          </w:p>
        </w:tc>
      </w:tr>
      <w:tr>
        <w:tc>
          <w:tcPr>
            <w:tcW w:type="dxa" w:w="2400"/>
            <w:tcBorders>
              <w:top w:val="single" w:color="BBBBBB" w:sz="1"/>
              <w:left w:val="single" w:color="BBBBBB" w:sz="1"/>
              <w:bottom w:val="single" w:color="BBBBBB" w:sz="1"/>
              <w:right w:val="single" w:color="BBBBBB" w:sz="1"/>
            </w:tcBorders>
            <w:shd w:fill="EEF3F8" w:val="clear"/>
            <w:tcMar>
              <w:top w:type="dxa" w:w="50"/>
              <w:left w:type="dxa" w:w="110"/>
              <w:bottom w:type="dxa" w:w="50"/>
              <w:right w:type="dxa" w:w="110"/>
            </w:tcMar>
          </w:tcPr>
          <w:p>
            <w:r>
              <w:rPr>
                <w:b/>
                <w:bCs/>
                <w:sz w:val="18"/>
                <w:szCs w:val="18"/>
              </w:rPr>
              <w:t xml:space="preserve">Band</w:t>
            </w:r>
          </w:p>
        </w:tc>
        <w:tc>
          <w:tcPr>
            <w:tcW w:type="dxa" w:w="69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b w:val="false"/>
                <w:bCs w:val="false"/>
                <w:sz w:val="18"/>
                <w:szCs w:val="18"/>
              </w:rPr>
              <w:t xml:space="preserve">Band 2</w:t>
            </w:r>
          </w:p>
        </w:tc>
      </w:tr>
      <w:tr>
        <w:tc>
          <w:tcPr>
            <w:tcW w:type="dxa" w:w="2400"/>
            <w:tcBorders>
              <w:top w:val="single" w:color="BBBBBB" w:sz="1"/>
              <w:left w:val="single" w:color="BBBBBB" w:sz="1"/>
              <w:bottom w:val="single" w:color="BBBBBB" w:sz="1"/>
              <w:right w:val="single" w:color="BBBBBB" w:sz="1"/>
            </w:tcBorders>
            <w:shd w:fill="EEF3F8" w:val="clear"/>
            <w:tcMar>
              <w:top w:type="dxa" w:w="50"/>
              <w:left w:type="dxa" w:w="110"/>
              <w:bottom w:type="dxa" w:w="50"/>
              <w:right w:type="dxa" w:w="110"/>
            </w:tcMar>
          </w:tcPr>
          <w:p>
            <w:r>
              <w:rPr>
                <w:b/>
                <w:bCs/>
                <w:sz w:val="18"/>
                <w:szCs w:val="18"/>
              </w:rPr>
              <w:t xml:space="preserve">Layer</w:t>
            </w:r>
          </w:p>
        </w:tc>
        <w:tc>
          <w:tcPr>
            <w:tcW w:type="dxa" w:w="69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b w:val="false"/>
                <w:bCs w:val="false"/>
                <w:sz w:val="18"/>
                <w:szCs w:val="18"/>
              </w:rPr>
              <w:t xml:space="preserve">Substrate (a conditioning posture)</w:t>
            </w:r>
          </w:p>
        </w:tc>
      </w:tr>
      <w:tr>
        <w:tc>
          <w:tcPr>
            <w:tcW w:type="dxa" w:w="2400"/>
            <w:tcBorders>
              <w:top w:val="single" w:color="BBBBBB" w:sz="1"/>
              <w:left w:val="single" w:color="BBBBBB" w:sz="1"/>
              <w:bottom w:val="single" w:color="BBBBBB" w:sz="1"/>
              <w:right w:val="single" w:color="BBBBBB" w:sz="1"/>
            </w:tcBorders>
            <w:shd w:fill="EEF3F8" w:val="clear"/>
            <w:tcMar>
              <w:top w:type="dxa" w:w="50"/>
              <w:left w:type="dxa" w:w="110"/>
              <w:bottom w:type="dxa" w:w="50"/>
              <w:right w:type="dxa" w:w="110"/>
            </w:tcMar>
          </w:tcPr>
          <w:p>
            <w:r>
              <w:rPr>
                <w:b/>
                <w:bCs/>
                <w:sz w:val="18"/>
                <w:szCs w:val="18"/>
              </w:rPr>
              <w:t xml:space="preserve">Operator</w:t>
            </w:r>
          </w:p>
        </w:tc>
        <w:tc>
          <w:tcPr>
            <w:tcW w:type="dxa" w:w="69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b w:val="false"/>
                <w:bCs w:val="false"/>
                <w:sz w:val="18"/>
                <w:szCs w:val="18"/>
              </w:rPr>
              <w:t xml:space="preserve">P (participant)</w:t>
            </w:r>
          </w:p>
        </w:tc>
      </w:tr>
      <w:tr>
        <w:tc>
          <w:tcPr>
            <w:tcW w:type="dxa" w:w="2400"/>
            <w:tcBorders>
              <w:top w:val="single" w:color="BBBBBB" w:sz="1"/>
              <w:left w:val="single" w:color="BBBBBB" w:sz="1"/>
              <w:bottom w:val="single" w:color="BBBBBB" w:sz="1"/>
              <w:right w:val="single" w:color="BBBBBB" w:sz="1"/>
            </w:tcBorders>
            <w:shd w:fill="EEF3F8" w:val="clear"/>
            <w:tcMar>
              <w:top w:type="dxa" w:w="50"/>
              <w:left w:type="dxa" w:w="110"/>
              <w:bottom w:type="dxa" w:w="50"/>
              <w:right w:type="dxa" w:w="110"/>
            </w:tcMar>
          </w:tcPr>
          <w:p>
            <w:r>
              <w:rPr>
                <w:b/>
                <w:bCs/>
                <w:sz w:val="18"/>
                <w:szCs w:val="18"/>
              </w:rPr>
              <w:t xml:space="preserve">Mirror field</w:t>
            </w:r>
          </w:p>
        </w:tc>
        <w:tc>
          <w:tcPr>
            <w:tcW w:type="dxa" w:w="69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b w:val="false"/>
                <w:bCs w:val="false"/>
                <w:sz w:val="18"/>
                <w:szCs w:val="18"/>
              </w:rPr>
              <w:t xml:space="preserve">Mirror statement</w:t>
            </w:r>
          </w:p>
        </w:tc>
      </w:tr>
    </w:tbl>
    <w:p>
      <w:pPr>
        <w:spacing w:before="120"/>
      </w:pPr>
    </w:p>
    <w:p>
      <w:pPr>
        <w:spacing w:after="120"/>
      </w:pPr>
      <w:r>
        <w:rPr>
          <w:sz w:val="22"/>
          <w:szCs w:val="22"/>
        </w:rPr>
        <w:t xml:space="preserve">This law is about the posture you bring to the word before it ever takes root. The same word, given to two people, lands differently — not because the word changes, but because the soil does. The claim: the word received humbly, eagerly, with a heart that trembles at it, takes root and works; the word received proudly or casually does not.</w:t>
      </w:r>
    </w:p>
    <w:p>
      <w:pPr>
        <w:pStyle w:val="Heading2"/>
      </w:pPr>
      <w:r>
        <w:t xml:space="preserve">The Scriptural Ground</w:t>
      </w:r>
    </w:p>
    <w:p>
      <w:pPr>
        <w:spacing w:after="20"/>
      </w:pPr>
      <w:r>
        <w:rPr>
          <w:b/>
          <w:bCs/>
          <w:i/>
          <w:iCs/>
          <w:sz w:val="20"/>
          <w:szCs w:val="20"/>
        </w:rPr>
        <w:t xml:space="preserve">Isaiah 66:2 (ESV)</w:t>
      </w:r>
    </w:p>
    <w:p>
      <w:pPr>
        <w:spacing w:after="120"/>
      </w:pPr>
      <w:r>
        <w:rPr>
          <w:i/>
          <w:iCs/>
          <w:sz w:val="20"/>
          <w:szCs w:val="20"/>
        </w:rPr>
        <w:t xml:space="preserve">“...But this is the one to whom I will look: he who is humble and contrite in spirit and trembles at my word.”</w:t>
      </w:r>
    </w:p>
    <w:p>
      <w:pPr>
        <w:spacing w:after="20"/>
      </w:pPr>
      <w:r>
        <w:rPr>
          <w:b/>
          <w:bCs/>
          <w:i/>
          <w:iCs/>
          <w:sz w:val="20"/>
          <w:szCs w:val="20"/>
        </w:rPr>
        <w:t xml:space="preserve">James 1:21 (ESV)</w:t>
      </w:r>
    </w:p>
    <w:p>
      <w:pPr>
        <w:spacing w:after="120"/>
      </w:pPr>
      <w:r>
        <w:rPr>
          <w:i/>
          <w:iCs/>
          <w:sz w:val="20"/>
          <w:szCs w:val="20"/>
        </w:rPr>
        <w:t xml:space="preserve">“...receive with meekness the implanted word, which is able to save your souls.”</w:t>
      </w:r>
    </w:p>
    <w:p>
      <w:pPr>
        <w:spacing w:after="20"/>
      </w:pPr>
      <w:r>
        <w:rPr>
          <w:b/>
          <w:bCs/>
          <w:i/>
          <w:iCs/>
          <w:sz w:val="20"/>
          <w:szCs w:val="20"/>
        </w:rPr>
        <w:t xml:space="preserve">1 Thessalonians 2:13 (ESV)</w:t>
      </w:r>
    </w:p>
    <w:p>
      <w:pPr>
        <w:spacing w:after="120"/>
      </w:pPr>
      <w:r>
        <w:rPr>
          <w:i/>
          <w:iCs/>
          <w:sz w:val="20"/>
          <w:szCs w:val="20"/>
        </w:rPr>
        <w:t xml:space="preserve">“...you accepted it not as the word of men but as what it really is, the word of God, which is at work in you believers.”</w:t>
      </w:r>
    </w:p>
    <w:p>
      <w:pPr>
        <w:spacing w:after="20"/>
      </w:pPr>
      <w:r>
        <w:rPr>
          <w:b/>
          <w:bCs/>
          <w:i/>
          <w:iCs/>
          <w:sz w:val="20"/>
          <w:szCs w:val="20"/>
        </w:rPr>
        <w:t xml:space="preserve">Acts 17:11 (ESV)</w:t>
      </w:r>
    </w:p>
    <w:p>
      <w:pPr>
        <w:spacing w:after="120"/>
      </w:pPr>
      <w:r>
        <w:rPr>
          <w:i/>
          <w:iCs/>
          <w:sz w:val="20"/>
          <w:szCs w:val="20"/>
        </w:rPr>
        <w:t xml:space="preserve">“...they received the word with all eagerness, examining the Scriptures daily to see if these things were so.”</w:t>
      </w:r>
    </w:p>
    <w:p>
      <w:pPr>
        <w:pStyle w:val="Heading2"/>
      </w:pPr>
      <w:r>
        <w:t xml:space="preserve">The Mechanism</w:t>
      </w:r>
    </w:p>
    <w:p>
      <w:pPr>
        <w:spacing w:after="120"/>
      </w:pPr>
      <w:r>
        <w:rPr>
          <w:sz w:val="22"/>
          <w:szCs w:val="22"/>
        </w:rPr>
        <w:t xml:space="preserve">Notice the kind of heart God says He looks to: “humble and contrite in spirit,” one who “trembles at my word” (Isa. 66:2). James says to receive the word “with meekness” (Jas. 1:21); the Thessalonians received it as the word of God and not of men (1 Thess. 2:13); the Bereans received it “with all eagerness” and then checked it against Scripture (Acts 17:11).</w:t>
      </w:r>
    </w:p>
    <w:p>
      <w:pPr>
        <w:spacing w:after="120"/>
      </w:pPr>
      <w:r>
        <w:rPr>
          <w:sz w:val="22"/>
          <w:szCs w:val="22"/>
        </w:rPr>
        <w:t xml:space="preserve">In every case the posture comes first and decides what the word can do. This is the Foundational principle standing underneath the four soils of the Sower — the soil is the posture of the heart toward the word.</w:t>
      </w:r>
    </w:p>
    <w:p>
      <w:pPr>
        <w:pStyle w:val="Heading2"/>
      </w:pPr>
      <w:r>
        <w:t xml:space="preserve">The Mirror</w:t>
      </w:r>
    </w:p>
    <w:p>
      <w:pPr>
        <w:spacing w:after="120"/>
      </w:pPr>
      <w:r>
        <w:rPr>
          <w:sz w:val="22"/>
          <w:szCs w:val="22"/>
        </w:rPr>
        <w:t xml:space="preserve">The dark side is the proud or casual hearing that treats the word as information to weigh rather than a word from God to obey — or the flattered hearing that only wants what it already agrees with. Either way the word cannot get in deep enough to do its work.</w:t>
      </w:r>
    </w:p>
    <w:p>
      <w:pPr>
        <w:spacing w:after="120" w:before="80"/>
      </w:pPr>
      <w:r>
        <w:rPr>
          <w:b/>
          <w:bCs/>
          <w:sz w:val="22"/>
          <w:szCs w:val="22"/>
        </w:rPr>
        <w:t xml:space="preserve">Proposed Law (Operational, newer / still-being-tested): The word received with humility, meekness, eagerness, and trembling takes root and does its work; the word received with pride or indifference does not. It works at every size, from one hearer to a whole congregation under preaching.</w:t>
      </w:r>
    </w:p>
    <w:p>
      <w:pPr>
        <w:spacing w:after="120"/>
      </w:pPr>
      <w:r>
        <w:rPr>
          <w:i/>
          <w:iCs/>
          <w:sz w:val="21"/>
          <w:szCs w:val="21"/>
        </w:rPr>
        <w:t xml:space="preserve">Certainty: Clearly Taught. Multiple writers across both Testaments (Isaiah, Luke, Paul, James). It is the principle beneath the parable of the Sower, among the most universally held of Jesus' teachings. Band 2: the posture is named plainly; the practices that cultivate it vary.</w:t>
      </w:r>
    </w:p>
    <w:p>
      <w:pPr>
        <w:spacing w:after="200"/>
      </w:pPr>
      <w:r>
        <w:rPr>
          <w:i/>
          <w:iCs/>
          <w:color w:val="666666"/>
          <w:sz w:val="19"/>
          <w:szCs w:val="19"/>
        </w:rPr>
        <w:t xml:space="preserve">Editor's note: this is the Foundational-tier principle sitting under V2.Exp1 Heart Soil Diagnostic. If admitted, relate the two deliberately rather than letting them duplicate.</w:t>
      </w:r>
    </w:p>
    <w:p>
      <w:pPr>
        <w:pStyle w:val="Heading1"/>
      </w:pPr>
      <w:r>
        <w:t xml:space="preserve">Proposed FL.XLIX — The Doer-Becomes-Knower Law</w:t>
      </w:r>
    </w:p>
    <w:p>
      <w:pPr>
        <w:spacing w:after="80"/>
      </w:pPr>
      <w:r>
        <w:rPr>
          <w:b/>
          <w:bCs/>
          <w:i/>
          <w:iCs/>
          <w:color w:val="1F6B2E"/>
          <w:sz w:val="20"/>
          <w:szCs w:val="20"/>
        </w:rPr>
        <w:t xml:space="preserve">Direct line to hear-and-obey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EEF3F8" w:val="clear"/>
            <w:tcMar>
              <w:top w:type="dxa" w:w="50"/>
              <w:left w:type="dxa" w:w="110"/>
              <w:bottom w:type="dxa" w:w="50"/>
              <w:right w:type="dxa" w:w="110"/>
            </w:tcMar>
          </w:tcPr>
          <w:p>
            <w:r>
              <w:rPr>
                <w:b/>
                <w:bCs/>
                <w:sz w:val="18"/>
                <w:szCs w:val="18"/>
              </w:rPr>
              <w:t xml:space="preserve">Suggested cell</w:t>
            </w:r>
          </w:p>
        </w:tc>
        <w:tc>
          <w:tcPr>
            <w:tcW w:type="dxa" w:w="69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b w:val="false"/>
                <w:bCs w:val="false"/>
                <w:sz w:val="18"/>
                <w:szCs w:val="18"/>
              </w:rPr>
              <w:t xml:space="preserve">Cause in GV (Body/Action) → effect in GIV (Mind &amp; Will); cross-Group; scale P1</w:t>
            </w:r>
          </w:p>
        </w:tc>
      </w:tr>
      <w:tr>
        <w:tc>
          <w:tcPr>
            <w:tcW w:type="dxa" w:w="2400"/>
            <w:tcBorders>
              <w:top w:val="single" w:color="BBBBBB" w:sz="1"/>
              <w:left w:val="single" w:color="BBBBBB" w:sz="1"/>
              <w:bottom w:val="single" w:color="BBBBBB" w:sz="1"/>
              <w:right w:val="single" w:color="BBBBBB" w:sz="1"/>
            </w:tcBorders>
            <w:shd w:fill="EEF3F8" w:val="clear"/>
            <w:tcMar>
              <w:top w:type="dxa" w:w="50"/>
              <w:left w:type="dxa" w:w="110"/>
              <w:bottom w:type="dxa" w:w="50"/>
              <w:right w:type="dxa" w:w="110"/>
            </w:tcMar>
          </w:tcPr>
          <w:p>
            <w:r>
              <w:rPr>
                <w:b/>
                <w:bCs/>
                <w:sz w:val="18"/>
                <w:szCs w:val="18"/>
              </w:rPr>
              <w:t xml:space="preserve">Directionality</w:t>
            </w:r>
          </w:p>
        </w:tc>
        <w:tc>
          <w:tcPr>
            <w:tcW w:type="dxa" w:w="69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b w:val="false"/>
                <w:bCs w:val="false"/>
                <w:sz w:val="18"/>
                <w:szCs w:val="18"/>
              </w:rPr>
              <w:t xml:space="preserve">V (Vertical)</w:t>
            </w:r>
          </w:p>
        </w:tc>
      </w:tr>
      <w:tr>
        <w:tc>
          <w:tcPr>
            <w:tcW w:type="dxa" w:w="2400"/>
            <w:tcBorders>
              <w:top w:val="single" w:color="BBBBBB" w:sz="1"/>
              <w:left w:val="single" w:color="BBBBBB" w:sz="1"/>
              <w:bottom w:val="single" w:color="BBBBBB" w:sz="1"/>
              <w:right w:val="single" w:color="BBBBBB" w:sz="1"/>
            </w:tcBorders>
            <w:shd w:fill="EEF3F8" w:val="clear"/>
            <w:tcMar>
              <w:top w:type="dxa" w:w="50"/>
              <w:left w:type="dxa" w:w="110"/>
              <w:bottom w:type="dxa" w:w="50"/>
              <w:right w:type="dxa" w:w="110"/>
            </w:tcMar>
          </w:tcPr>
          <w:p>
            <w:r>
              <w:rPr>
                <w:b/>
                <w:bCs/>
                <w:sz w:val="18"/>
                <w:szCs w:val="18"/>
              </w:rPr>
              <w:t xml:space="preserve">Confidence</w:t>
            </w:r>
          </w:p>
        </w:tc>
        <w:tc>
          <w:tcPr>
            <w:tcW w:type="dxa" w:w="69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b w:val="false"/>
                <w:bCs w:val="false"/>
                <w:sz w:val="18"/>
                <w:szCs w:val="18"/>
              </w:rPr>
              <w:t xml:space="preserve">Clearly Taught</w:t>
            </w:r>
          </w:p>
        </w:tc>
      </w:tr>
      <w:tr>
        <w:tc>
          <w:tcPr>
            <w:tcW w:type="dxa" w:w="2400"/>
            <w:tcBorders>
              <w:top w:val="single" w:color="BBBBBB" w:sz="1"/>
              <w:left w:val="single" w:color="BBBBBB" w:sz="1"/>
              <w:bottom w:val="single" w:color="BBBBBB" w:sz="1"/>
              <w:right w:val="single" w:color="BBBBBB" w:sz="1"/>
            </w:tcBorders>
            <w:shd w:fill="EEF3F8" w:val="clear"/>
            <w:tcMar>
              <w:top w:type="dxa" w:w="50"/>
              <w:left w:type="dxa" w:w="110"/>
              <w:bottom w:type="dxa" w:w="50"/>
              <w:right w:type="dxa" w:w="110"/>
            </w:tcMar>
          </w:tcPr>
          <w:p>
            <w:r>
              <w:rPr>
                <w:b/>
                <w:bCs/>
                <w:sz w:val="18"/>
                <w:szCs w:val="18"/>
              </w:rPr>
              <w:t xml:space="preserve">Band</w:t>
            </w:r>
          </w:p>
        </w:tc>
        <w:tc>
          <w:tcPr>
            <w:tcW w:type="dxa" w:w="69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b w:val="false"/>
                <w:bCs w:val="false"/>
                <w:sz w:val="18"/>
                <w:szCs w:val="18"/>
              </w:rPr>
              <w:t xml:space="preserve">Band 2</w:t>
            </w:r>
          </w:p>
        </w:tc>
      </w:tr>
      <w:tr>
        <w:tc>
          <w:tcPr>
            <w:tcW w:type="dxa" w:w="2400"/>
            <w:tcBorders>
              <w:top w:val="single" w:color="BBBBBB" w:sz="1"/>
              <w:left w:val="single" w:color="BBBBBB" w:sz="1"/>
              <w:bottom w:val="single" w:color="BBBBBB" w:sz="1"/>
              <w:right w:val="single" w:color="BBBBBB" w:sz="1"/>
            </w:tcBorders>
            <w:shd w:fill="EEF3F8" w:val="clear"/>
            <w:tcMar>
              <w:top w:type="dxa" w:w="50"/>
              <w:left w:type="dxa" w:w="110"/>
              <w:bottom w:type="dxa" w:w="50"/>
              <w:right w:type="dxa" w:w="110"/>
            </w:tcMar>
          </w:tcPr>
          <w:p>
            <w:r>
              <w:rPr>
                <w:b/>
                <w:bCs/>
                <w:sz w:val="18"/>
                <w:szCs w:val="18"/>
              </w:rPr>
              <w:t xml:space="preserve">Layer</w:t>
            </w:r>
          </w:p>
        </w:tc>
        <w:tc>
          <w:tcPr>
            <w:tcW w:type="dxa" w:w="69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b w:val="false"/>
                <w:bCs w:val="false"/>
                <w:sz w:val="18"/>
                <w:szCs w:val="18"/>
              </w:rPr>
              <w:t xml:space="preserve">Operation</w:t>
            </w:r>
          </w:p>
        </w:tc>
      </w:tr>
      <w:tr>
        <w:tc>
          <w:tcPr>
            <w:tcW w:type="dxa" w:w="2400"/>
            <w:tcBorders>
              <w:top w:val="single" w:color="BBBBBB" w:sz="1"/>
              <w:left w:val="single" w:color="BBBBBB" w:sz="1"/>
              <w:bottom w:val="single" w:color="BBBBBB" w:sz="1"/>
              <w:right w:val="single" w:color="BBBBBB" w:sz="1"/>
            </w:tcBorders>
            <w:shd w:fill="EEF3F8" w:val="clear"/>
            <w:tcMar>
              <w:top w:type="dxa" w:w="50"/>
              <w:left w:type="dxa" w:w="110"/>
              <w:bottom w:type="dxa" w:w="50"/>
              <w:right w:type="dxa" w:w="110"/>
            </w:tcMar>
          </w:tcPr>
          <w:p>
            <w:r>
              <w:rPr>
                <w:b/>
                <w:bCs/>
                <w:sz w:val="18"/>
                <w:szCs w:val="18"/>
              </w:rPr>
              <w:t xml:space="preserve">Operator</w:t>
            </w:r>
          </w:p>
        </w:tc>
        <w:tc>
          <w:tcPr>
            <w:tcW w:type="dxa" w:w="69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b w:val="false"/>
                <w:bCs w:val="false"/>
                <w:sz w:val="18"/>
                <w:szCs w:val="18"/>
              </w:rPr>
              <w:t xml:space="preserve">P (participant)</w:t>
            </w:r>
          </w:p>
        </w:tc>
      </w:tr>
      <w:tr>
        <w:tc>
          <w:tcPr>
            <w:tcW w:type="dxa" w:w="2400"/>
            <w:tcBorders>
              <w:top w:val="single" w:color="BBBBBB" w:sz="1"/>
              <w:left w:val="single" w:color="BBBBBB" w:sz="1"/>
              <w:bottom w:val="single" w:color="BBBBBB" w:sz="1"/>
              <w:right w:val="single" w:color="BBBBBB" w:sz="1"/>
            </w:tcBorders>
            <w:shd w:fill="EEF3F8" w:val="clear"/>
            <w:tcMar>
              <w:top w:type="dxa" w:w="50"/>
              <w:left w:type="dxa" w:w="110"/>
              <w:bottom w:type="dxa" w:w="50"/>
              <w:right w:type="dxa" w:w="110"/>
            </w:tcMar>
          </w:tcPr>
          <w:p>
            <w:r>
              <w:rPr>
                <w:b/>
                <w:bCs/>
                <w:sz w:val="18"/>
                <w:szCs w:val="18"/>
              </w:rPr>
              <w:t xml:space="preserve">Mirror field</w:t>
            </w:r>
          </w:p>
        </w:tc>
        <w:tc>
          <w:tcPr>
            <w:tcW w:type="dxa" w:w="69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b w:val="false"/>
                <w:bCs w:val="false"/>
                <w:sz w:val="18"/>
                <w:szCs w:val="18"/>
              </w:rPr>
              <w:t xml:space="preserve">Mirror statement</w:t>
            </w:r>
          </w:p>
        </w:tc>
      </w:tr>
    </w:tbl>
    <w:p>
      <w:pPr>
        <w:spacing w:before="120"/>
      </w:pPr>
    </w:p>
    <w:p>
      <w:pPr>
        <w:spacing w:after="120"/>
      </w:pPr>
      <w:r>
        <w:rPr>
          <w:sz w:val="22"/>
          <w:szCs w:val="22"/>
        </w:rPr>
        <w:t xml:space="preserve">This law answers a question many sincere people get stuck on: how do I know that what I am hearing is really from God? Jesus gives a surprising answer — not “study harder” but “be willing to do it.” The claim: a settled willingness to obey God's will is what brings the assurance and knowledge that His word is true. Doing confirms what hearing began.</w:t>
      </w:r>
    </w:p>
    <w:p>
      <w:pPr>
        <w:pStyle w:val="Heading2"/>
      </w:pPr>
      <w:r>
        <w:t xml:space="preserve">The Scriptural Ground</w:t>
      </w:r>
    </w:p>
    <w:p>
      <w:pPr>
        <w:spacing w:after="20"/>
      </w:pPr>
      <w:r>
        <w:rPr>
          <w:b/>
          <w:bCs/>
          <w:i/>
          <w:iCs/>
          <w:sz w:val="20"/>
          <w:szCs w:val="20"/>
        </w:rPr>
        <w:t xml:space="preserve">John 7:17 (ESV)</w:t>
      </w:r>
    </w:p>
    <w:p>
      <w:pPr>
        <w:spacing w:after="120"/>
      </w:pPr>
      <w:r>
        <w:rPr>
          <w:i/>
          <w:iCs/>
          <w:sz w:val="20"/>
          <w:szCs w:val="20"/>
        </w:rPr>
        <w:t xml:space="preserve">“If anyone's will is to do God's will, he will know whether the teaching is from God or whether I am speaking on my own authority.”</w:t>
      </w:r>
    </w:p>
    <w:p>
      <w:pPr>
        <w:spacing w:after="20"/>
      </w:pPr>
      <w:r>
        <w:rPr>
          <w:b/>
          <w:bCs/>
          <w:i/>
          <w:iCs/>
          <w:sz w:val="20"/>
          <w:szCs w:val="20"/>
        </w:rPr>
        <w:t xml:space="preserve">Psalm 25:14 (ESV)</w:t>
      </w:r>
    </w:p>
    <w:p>
      <w:pPr>
        <w:spacing w:after="120"/>
      </w:pPr>
      <w:r>
        <w:rPr>
          <w:i/>
          <w:iCs/>
          <w:sz w:val="20"/>
          <w:szCs w:val="20"/>
        </w:rPr>
        <w:t xml:space="preserve">“The friendship of the Lord is for those who fear him, and he makes known to them his covenant.”</w:t>
      </w:r>
    </w:p>
    <w:p>
      <w:pPr>
        <w:spacing w:after="20"/>
      </w:pPr>
      <w:r>
        <w:rPr>
          <w:b/>
          <w:bCs/>
          <w:i/>
          <w:iCs/>
          <w:sz w:val="20"/>
          <w:szCs w:val="20"/>
        </w:rPr>
        <w:t xml:space="preserve">Hosea 6:3 (ESV)</w:t>
      </w:r>
    </w:p>
    <w:p>
      <w:pPr>
        <w:spacing w:after="120"/>
      </w:pPr>
      <w:r>
        <w:rPr>
          <w:i/>
          <w:iCs/>
          <w:sz w:val="20"/>
          <w:szCs w:val="20"/>
        </w:rPr>
        <w:t xml:space="preserve">“Let us know; let us press on to know the Lord; his going out is sure as the dawn...”</w:t>
      </w:r>
    </w:p>
    <w:p>
      <w:pPr>
        <w:spacing w:after="20"/>
      </w:pPr>
      <w:r>
        <w:rPr>
          <w:b/>
          <w:bCs/>
          <w:i/>
          <w:iCs/>
          <w:sz w:val="20"/>
          <w:szCs w:val="20"/>
        </w:rPr>
        <w:t xml:space="preserve">Psalm 119:100 (ESV)</w:t>
      </w:r>
    </w:p>
    <w:p>
      <w:pPr>
        <w:spacing w:after="120"/>
      </w:pPr>
      <w:r>
        <w:rPr>
          <w:i/>
          <w:iCs/>
          <w:sz w:val="20"/>
          <w:szCs w:val="20"/>
        </w:rPr>
        <w:t xml:space="preserve">“I understand more than the aged, for I keep your precepts.”</w:t>
      </w:r>
    </w:p>
    <w:p>
      <w:pPr>
        <w:pStyle w:val="Heading2"/>
      </w:pPr>
      <w:r>
        <w:t xml:space="preserve">The Mechanism</w:t>
      </w:r>
    </w:p>
    <w:p>
      <w:pPr>
        <w:spacing w:after="120"/>
      </w:pPr>
      <w:r>
        <w:rPr>
          <w:sz w:val="22"/>
          <w:szCs w:val="22"/>
        </w:rPr>
        <w:t xml:space="preserve">The order is the surprising part. We usually think understanding comes first and obedience follows. Jesus reverses it: “If anyone's will is to do God's will, he will know whether the teaching is from God” (John 7:17).</w:t>
      </w:r>
    </w:p>
    <w:p>
      <w:pPr>
        <w:spacing w:after="120"/>
      </w:pPr>
      <w:r>
        <w:rPr>
          <w:sz w:val="22"/>
          <w:szCs w:val="22"/>
        </w:rPr>
        <w:t xml:space="preserve">The Psalmist says the Lord's friendship — His secret — is for those who fear Him (Ps. 25:14), and that he understands more than the aged because he keeps God's precepts (Ps. 119:100). Hosea says the knowledge of God comes to those who press on to follow Him (Hos. 6:3). In every case obedience is the doorway to knowing, not the reward for having known. That is why a willing-but-uncertain person often finds the certainty arrives on the far side of the first obedient step.</w:t>
      </w:r>
    </w:p>
    <w:p>
      <w:pPr>
        <w:pStyle w:val="Heading2"/>
      </w:pPr>
      <w:r>
        <w:t xml:space="preserve">The Mirror</w:t>
      </w:r>
    </w:p>
    <w:p>
      <w:pPr>
        <w:spacing w:after="120"/>
      </w:pPr>
      <w:r>
        <w:rPr>
          <w:sz w:val="22"/>
          <w:szCs w:val="22"/>
        </w:rPr>
        <w:t xml:space="preserve">The dark side is the mind that wants certainty without surrender — “always learning and never able to arrive at a knowledge of the truth” (2 Tim. 3:7). Knowledge held at arm's length from obedience stays restless and unsure, because the door it is looking for only opens from the inside, by doing.</w:t>
      </w:r>
    </w:p>
    <w:p>
      <w:pPr>
        <w:spacing w:after="120" w:before="80"/>
      </w:pPr>
      <w:r>
        <w:rPr>
          <w:b/>
          <w:bCs/>
          <w:sz w:val="22"/>
          <w:szCs w:val="22"/>
        </w:rPr>
        <w:t xml:space="preserve">Proposed Law (Operational, newer / still-being-tested): A settled willingness to do God's will brings the assurance and knowledge that His teaching is from Him; obedience is the doorway to certainty, not its reward. The cause is in the doing and the effect is in the knowing.</w:t>
      </w:r>
    </w:p>
    <w:p>
      <w:pPr>
        <w:spacing w:after="120"/>
      </w:pPr>
      <w:r>
        <w:rPr>
          <w:i/>
          <w:iCs/>
          <w:sz w:val="21"/>
          <w:szCs w:val="21"/>
        </w:rPr>
        <w:t xml:space="preserve">Certainty: Clearly Taught. Jesus states it directly (John 7:17), with the Psalmist and Hosea saying the same from the other Testament. No mainstream tradition disputes that obedience deepens the knowledge of God. Band 2.</w:t>
      </w:r>
    </w:p>
    <w:p>
      <w:pPr>
        <w:spacing w:after="200"/>
      </w:pPr>
      <w:r>
        <w:rPr>
          <w:i/>
          <w:iCs/>
          <w:color w:val="666666"/>
          <w:sz w:val="19"/>
          <w:szCs w:val="19"/>
        </w:rPr>
        <w:t xml:space="preserve">Editor's note: this law's cause sits in the Body/Action dimension and its effect in the Mind/Will dimension — it spans two Groups, which the one-Group-per-row convention cannot fully hold. Sister to V1.Exp6 Obedience Channel, but distinct in its effect (assured knowledge, not more guidance).</w:t>
      </w:r>
    </w:p>
    <w:p>
      <w:pPr>
        <w:pStyle w:val="Heading1"/>
      </w:pPr>
      <w:r>
        <w:t xml:space="preserve">Proposed FL.L — The Stillness-Before-God Law</w:t>
      </w:r>
    </w:p>
    <w:p>
      <w:pPr>
        <w:spacing w:after="80"/>
      </w:pPr>
      <w:r>
        <w:rPr>
          <w:b/>
          <w:bCs/>
          <w:i/>
          <w:iCs/>
          <w:color w:val="8A6D00"/>
          <w:sz w:val="20"/>
          <w:szCs w:val="20"/>
        </w:rPr>
        <w:t xml:space="preserve">Adjacent line to hear-and-obey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EEF3F8" w:val="clear"/>
            <w:tcMar>
              <w:top w:type="dxa" w:w="50"/>
              <w:left w:type="dxa" w:w="110"/>
              <w:bottom w:type="dxa" w:w="50"/>
              <w:right w:type="dxa" w:w="110"/>
            </w:tcMar>
          </w:tcPr>
          <w:p>
            <w:r>
              <w:rPr>
                <w:b/>
                <w:bCs/>
                <w:sz w:val="18"/>
                <w:szCs w:val="18"/>
              </w:rPr>
              <w:t xml:space="preserve">Suggested cell</w:t>
            </w:r>
          </w:p>
        </w:tc>
        <w:tc>
          <w:tcPr>
            <w:tcW w:type="dxa" w:w="69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b w:val="false"/>
                <w:bCs w:val="false"/>
                <w:sz w:val="18"/>
                <w:szCs w:val="18"/>
              </w:rPr>
              <w:t xml:space="preserve">P1/GI (Spirit); also GII (Heart)</w:t>
            </w:r>
          </w:p>
        </w:tc>
      </w:tr>
      <w:tr>
        <w:tc>
          <w:tcPr>
            <w:tcW w:type="dxa" w:w="2400"/>
            <w:tcBorders>
              <w:top w:val="single" w:color="BBBBBB" w:sz="1"/>
              <w:left w:val="single" w:color="BBBBBB" w:sz="1"/>
              <w:bottom w:val="single" w:color="BBBBBB" w:sz="1"/>
              <w:right w:val="single" w:color="BBBBBB" w:sz="1"/>
            </w:tcBorders>
            <w:shd w:fill="EEF3F8" w:val="clear"/>
            <w:tcMar>
              <w:top w:type="dxa" w:w="50"/>
              <w:left w:type="dxa" w:w="110"/>
              <w:bottom w:type="dxa" w:w="50"/>
              <w:right w:type="dxa" w:w="110"/>
            </w:tcMar>
          </w:tcPr>
          <w:p>
            <w:r>
              <w:rPr>
                <w:b/>
                <w:bCs/>
                <w:sz w:val="18"/>
                <w:szCs w:val="18"/>
              </w:rPr>
              <w:t xml:space="preserve">Directionality</w:t>
            </w:r>
          </w:p>
        </w:tc>
        <w:tc>
          <w:tcPr>
            <w:tcW w:type="dxa" w:w="69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b w:val="false"/>
                <w:bCs w:val="false"/>
                <w:sz w:val="18"/>
                <w:szCs w:val="18"/>
              </w:rPr>
              <w:t xml:space="preserve">V (Vertical)</w:t>
            </w:r>
          </w:p>
        </w:tc>
      </w:tr>
      <w:tr>
        <w:tc>
          <w:tcPr>
            <w:tcW w:type="dxa" w:w="2400"/>
            <w:tcBorders>
              <w:top w:val="single" w:color="BBBBBB" w:sz="1"/>
              <w:left w:val="single" w:color="BBBBBB" w:sz="1"/>
              <w:bottom w:val="single" w:color="BBBBBB" w:sz="1"/>
              <w:right w:val="single" w:color="BBBBBB" w:sz="1"/>
            </w:tcBorders>
            <w:shd w:fill="EEF3F8" w:val="clear"/>
            <w:tcMar>
              <w:top w:type="dxa" w:w="50"/>
              <w:left w:type="dxa" w:w="110"/>
              <w:bottom w:type="dxa" w:w="50"/>
              <w:right w:type="dxa" w:w="110"/>
            </w:tcMar>
          </w:tcPr>
          <w:p>
            <w:r>
              <w:rPr>
                <w:b/>
                <w:bCs/>
                <w:sz w:val="18"/>
                <w:szCs w:val="18"/>
              </w:rPr>
              <w:t xml:space="preserve">Confidence</w:t>
            </w:r>
          </w:p>
        </w:tc>
        <w:tc>
          <w:tcPr>
            <w:tcW w:type="dxa" w:w="69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b w:val="false"/>
                <w:bCs w:val="false"/>
                <w:sz w:val="18"/>
                <w:szCs w:val="18"/>
              </w:rPr>
              <w:t xml:space="preserve">Reasonably Inferred</w:t>
            </w:r>
          </w:p>
        </w:tc>
      </w:tr>
      <w:tr>
        <w:tc>
          <w:tcPr>
            <w:tcW w:type="dxa" w:w="2400"/>
            <w:tcBorders>
              <w:top w:val="single" w:color="BBBBBB" w:sz="1"/>
              <w:left w:val="single" w:color="BBBBBB" w:sz="1"/>
              <w:bottom w:val="single" w:color="BBBBBB" w:sz="1"/>
              <w:right w:val="single" w:color="BBBBBB" w:sz="1"/>
            </w:tcBorders>
            <w:shd w:fill="EEF3F8" w:val="clear"/>
            <w:tcMar>
              <w:top w:type="dxa" w:w="50"/>
              <w:left w:type="dxa" w:w="110"/>
              <w:bottom w:type="dxa" w:w="50"/>
              <w:right w:type="dxa" w:w="110"/>
            </w:tcMar>
          </w:tcPr>
          <w:p>
            <w:r>
              <w:rPr>
                <w:b/>
                <w:bCs/>
                <w:sz w:val="18"/>
                <w:szCs w:val="18"/>
              </w:rPr>
              <w:t xml:space="preserve">Band</w:t>
            </w:r>
          </w:p>
        </w:tc>
        <w:tc>
          <w:tcPr>
            <w:tcW w:type="dxa" w:w="69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b w:val="false"/>
                <w:bCs w:val="false"/>
                <w:sz w:val="18"/>
                <w:szCs w:val="18"/>
              </w:rPr>
              <w:t xml:space="preserve">Band 3 (operational forms left to tradition)</w:t>
            </w:r>
          </w:p>
        </w:tc>
      </w:tr>
      <w:tr>
        <w:tc>
          <w:tcPr>
            <w:tcW w:type="dxa" w:w="2400"/>
            <w:tcBorders>
              <w:top w:val="single" w:color="BBBBBB" w:sz="1"/>
              <w:left w:val="single" w:color="BBBBBB" w:sz="1"/>
              <w:bottom w:val="single" w:color="BBBBBB" w:sz="1"/>
              <w:right w:val="single" w:color="BBBBBB" w:sz="1"/>
            </w:tcBorders>
            <w:shd w:fill="EEF3F8" w:val="clear"/>
            <w:tcMar>
              <w:top w:type="dxa" w:w="50"/>
              <w:left w:type="dxa" w:w="110"/>
              <w:bottom w:type="dxa" w:w="50"/>
              <w:right w:type="dxa" w:w="110"/>
            </w:tcMar>
          </w:tcPr>
          <w:p>
            <w:r>
              <w:rPr>
                <w:b/>
                <w:bCs/>
                <w:sz w:val="18"/>
                <w:szCs w:val="18"/>
              </w:rPr>
              <w:t xml:space="preserve">Layer</w:t>
            </w:r>
          </w:p>
        </w:tc>
        <w:tc>
          <w:tcPr>
            <w:tcW w:type="dxa" w:w="69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b w:val="false"/>
                <w:bCs w:val="false"/>
                <w:sz w:val="18"/>
                <w:szCs w:val="18"/>
              </w:rPr>
              <w:t xml:space="preserve">Substrate (a conditioning posture)</w:t>
            </w:r>
          </w:p>
        </w:tc>
      </w:tr>
      <w:tr>
        <w:tc>
          <w:tcPr>
            <w:tcW w:type="dxa" w:w="2400"/>
            <w:tcBorders>
              <w:top w:val="single" w:color="BBBBBB" w:sz="1"/>
              <w:left w:val="single" w:color="BBBBBB" w:sz="1"/>
              <w:bottom w:val="single" w:color="BBBBBB" w:sz="1"/>
              <w:right w:val="single" w:color="BBBBBB" w:sz="1"/>
            </w:tcBorders>
            <w:shd w:fill="EEF3F8" w:val="clear"/>
            <w:tcMar>
              <w:top w:type="dxa" w:w="50"/>
              <w:left w:type="dxa" w:w="110"/>
              <w:bottom w:type="dxa" w:w="50"/>
              <w:right w:type="dxa" w:w="110"/>
            </w:tcMar>
          </w:tcPr>
          <w:p>
            <w:r>
              <w:rPr>
                <w:b/>
                <w:bCs/>
                <w:sz w:val="18"/>
                <w:szCs w:val="18"/>
              </w:rPr>
              <w:t xml:space="preserve">Operator</w:t>
            </w:r>
          </w:p>
        </w:tc>
        <w:tc>
          <w:tcPr>
            <w:tcW w:type="dxa" w:w="69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b w:val="false"/>
                <w:bCs w:val="false"/>
                <w:sz w:val="18"/>
                <w:szCs w:val="18"/>
              </w:rPr>
              <w:t xml:space="preserve">P (participant)</w:t>
            </w:r>
          </w:p>
        </w:tc>
      </w:tr>
      <w:tr>
        <w:tc>
          <w:tcPr>
            <w:tcW w:type="dxa" w:w="2400"/>
            <w:tcBorders>
              <w:top w:val="single" w:color="BBBBBB" w:sz="1"/>
              <w:left w:val="single" w:color="BBBBBB" w:sz="1"/>
              <w:bottom w:val="single" w:color="BBBBBB" w:sz="1"/>
              <w:right w:val="single" w:color="BBBBBB" w:sz="1"/>
            </w:tcBorders>
            <w:shd w:fill="EEF3F8" w:val="clear"/>
            <w:tcMar>
              <w:top w:type="dxa" w:w="50"/>
              <w:left w:type="dxa" w:w="110"/>
              <w:bottom w:type="dxa" w:w="50"/>
              <w:right w:type="dxa" w:w="110"/>
            </w:tcMar>
          </w:tcPr>
          <w:p>
            <w:r>
              <w:rPr>
                <w:b/>
                <w:bCs/>
                <w:sz w:val="18"/>
                <w:szCs w:val="18"/>
              </w:rPr>
              <w:t xml:space="preserve">Mirror field</w:t>
            </w:r>
          </w:p>
        </w:tc>
        <w:tc>
          <w:tcPr>
            <w:tcW w:type="dxa" w:w="69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b w:val="false"/>
                <w:bCs w:val="false"/>
                <w:sz w:val="18"/>
                <w:szCs w:val="18"/>
              </w:rPr>
              <w:t xml:space="preserve">Mirror statement</w:t>
            </w:r>
          </w:p>
        </w:tc>
      </w:tr>
    </w:tbl>
    <w:p>
      <w:pPr>
        <w:spacing w:before="120"/>
      </w:pPr>
    </w:p>
    <w:p>
      <w:pPr>
        <w:spacing w:after="120"/>
      </w:pPr>
      <w:r>
        <w:rPr>
          <w:sz w:val="22"/>
          <w:szCs w:val="22"/>
        </w:rPr>
        <w:t xml:space="preserve">This law names something the noise of modern life has nearly buried: that hearing God usually waits on stillness. Not earning His attention by silence, but quieting ourselves enough to receive what He is already saying. The claim: the soul that grows still before God — quiet, unhurried, set apart — is positioned to hear His voice and have its strength renewed.</w:t>
      </w:r>
    </w:p>
    <w:p>
      <w:pPr>
        <w:pStyle w:val="Heading2"/>
      </w:pPr>
      <w:r>
        <w:t xml:space="preserve">The Scriptural Ground</w:t>
      </w:r>
    </w:p>
    <w:p>
      <w:pPr>
        <w:spacing w:after="20"/>
      </w:pPr>
      <w:r>
        <w:rPr>
          <w:b/>
          <w:bCs/>
          <w:i/>
          <w:iCs/>
          <w:sz w:val="20"/>
          <w:szCs w:val="20"/>
        </w:rPr>
        <w:t xml:space="preserve">Psalm 46:10 (ESV)</w:t>
      </w:r>
    </w:p>
    <w:p>
      <w:pPr>
        <w:spacing w:after="120"/>
      </w:pPr>
      <w:r>
        <w:rPr>
          <w:i/>
          <w:iCs/>
          <w:sz w:val="20"/>
          <w:szCs w:val="20"/>
        </w:rPr>
        <w:t xml:space="preserve">“Be still, and know that I am God. I will be exalted among the nations, I will be exalted in the earth!”</w:t>
      </w:r>
    </w:p>
    <w:p>
      <w:pPr>
        <w:spacing w:after="20"/>
      </w:pPr>
      <w:r>
        <w:rPr>
          <w:b/>
          <w:bCs/>
          <w:i/>
          <w:iCs/>
          <w:sz w:val="20"/>
          <w:szCs w:val="20"/>
        </w:rPr>
        <w:t xml:space="preserve">Isaiah 30:15 (ESV)</w:t>
      </w:r>
    </w:p>
    <w:p>
      <w:pPr>
        <w:spacing w:after="120"/>
      </w:pPr>
      <w:r>
        <w:rPr>
          <w:i/>
          <w:iCs/>
          <w:sz w:val="20"/>
          <w:szCs w:val="20"/>
        </w:rPr>
        <w:t xml:space="preserve">“In returning and rest you shall be saved; in quietness and in trust shall be your strength. But you were unwilling...”</w:t>
      </w:r>
    </w:p>
    <w:p>
      <w:pPr>
        <w:spacing w:after="20"/>
      </w:pPr>
      <w:r>
        <w:rPr>
          <w:b/>
          <w:bCs/>
          <w:i/>
          <w:iCs/>
          <w:sz w:val="20"/>
          <w:szCs w:val="20"/>
        </w:rPr>
        <w:t xml:space="preserve">1 Kings 19:11-12 (ESV)</w:t>
      </w:r>
    </w:p>
    <w:p>
      <w:pPr>
        <w:spacing w:after="120"/>
      </w:pPr>
      <w:r>
        <w:rPr>
          <w:i/>
          <w:iCs/>
          <w:sz w:val="20"/>
          <w:szCs w:val="20"/>
        </w:rPr>
        <w:t xml:space="preserve">“...And after the fire the sound of a low whisper.”</w:t>
      </w:r>
    </w:p>
    <w:p>
      <w:pPr>
        <w:spacing w:after="20"/>
      </w:pPr>
      <w:r>
        <w:rPr>
          <w:b/>
          <w:bCs/>
          <w:i/>
          <w:iCs/>
          <w:sz w:val="20"/>
          <w:szCs w:val="20"/>
        </w:rPr>
        <w:t xml:space="preserve">Matthew 6:6 (ESV)</w:t>
      </w:r>
    </w:p>
    <w:p>
      <w:pPr>
        <w:spacing w:after="120"/>
      </w:pPr>
      <w:r>
        <w:rPr>
          <w:i/>
          <w:iCs/>
          <w:sz w:val="20"/>
          <w:szCs w:val="20"/>
        </w:rPr>
        <w:t xml:space="preserve">“But when you pray, go into your room and shut the door and pray to your Father who is in secret...”</w:t>
      </w:r>
    </w:p>
    <w:p>
      <w:pPr>
        <w:pStyle w:val="Heading2"/>
      </w:pPr>
      <w:r>
        <w:t xml:space="preserve">The Mechanism</w:t>
      </w:r>
    </w:p>
    <w:p>
      <w:pPr>
        <w:spacing w:after="120"/>
      </w:pPr>
      <w:r>
        <w:rPr>
          <w:sz w:val="22"/>
          <w:szCs w:val="22"/>
        </w:rPr>
        <w:t xml:space="preserve">God told Elijah He was not in the wind, the earthquake, or the fire, but in “a low whisper” (1 Kings 19:12) — and a whisper is only heard by someone who has gone quiet. “Be still, and know that I am God” (Ps. 46:10) ties the knowing to the stilling. Isaiah ties strength to it — “in quietness and in trust shall be your strength” — and then adds the sad line, “But you were unwilling.”</w:t>
      </w:r>
    </w:p>
    <w:p>
      <w:pPr>
        <w:spacing w:after="120"/>
      </w:pPr>
      <w:r>
        <w:rPr>
          <w:sz w:val="22"/>
          <w:szCs w:val="22"/>
        </w:rPr>
        <w:t xml:space="preserve">Jesus sends us to the shut door of the secret place (Matt. 6:6); Habakkuk takes his stand on the watchtower to see what God will say (Hab. 2:1). The mechanism is not that silence forces God to speak, but that stillness clears away the noise that keeps us from hearing a God who is already speaking.</w:t>
      </w:r>
    </w:p>
    <w:p>
      <w:pPr>
        <w:pStyle w:val="Heading2"/>
      </w:pPr>
      <w:r>
        <w:t xml:space="preserve">The Mirror</w:t>
      </w:r>
    </w:p>
    <w:p>
      <w:pPr>
        <w:spacing w:after="120"/>
      </w:pPr>
      <w:r>
        <w:rPr>
          <w:sz w:val="22"/>
          <w:szCs w:val="22"/>
        </w:rPr>
        <w:t xml:space="preserve">The dark side is restless noise — the constant motion and distraction that is often, underneath, a quiet flight from God. Isaiah's “you were unwilling” names it exactly: the strength was offered in quietness, and we would not be still long enough to take it.</w:t>
      </w:r>
    </w:p>
    <w:p>
      <w:pPr>
        <w:spacing w:after="120" w:before="80"/>
      </w:pPr>
      <w:r>
        <w:rPr>
          <w:b/>
          <w:bCs/>
          <w:sz w:val="22"/>
          <w:szCs w:val="22"/>
        </w:rPr>
        <w:t xml:space="preserve">Proposed Law (newer / still-being-tested): The soul that grows still and unhurried before God is positioned to hear His voice and have its strength renewed; restless noise keeps us from hearing a God who is already speaking. It works for one person in the secret place and for a community that learns to be silent together.</w:t>
      </w:r>
    </w:p>
    <w:p>
      <w:pPr>
        <w:spacing w:after="120"/>
      </w:pPr>
      <w:r>
        <w:rPr>
          <w:i/>
          <w:iCs/>
          <w:sz w:val="21"/>
          <w:szCs w:val="21"/>
        </w:rPr>
        <w:t xml:space="preserve">Certainty: Reasonably Inferred. The principle is taught across many writers (the Psalmist, Isaiah, the Kings narrative, Jesus, Habakkuk). It enters at Band 3 because the practice of stillness takes very different forms across traditions, and Scripture gives the principle without prescribing one form.</w:t>
      </w:r>
    </w:p>
    <w:p>
      <w:pPr>
        <w:spacing w:after="200"/>
      </w:pPr>
      <w:r>
        <w:rPr>
          <w:i/>
          <w:iCs/>
          <w:color w:val="666666"/>
          <w:sz w:val="19"/>
          <w:szCs w:val="19"/>
        </w:rPr>
        <w:t xml:space="preserve">Editor's note: this is the contemplative stream's missing practice law — the companion to V1.Exp5 Fear of the Lord, which gives that stream its epistemology but no practice. The three-stream peer review flagged this same gap.</w:t>
      </w:r>
    </w:p>
    <w:p>
      <w:pPr>
        <w:pStyle w:val="Heading1"/>
      </w:pPr>
      <w:r>
        <w:t xml:space="preserve">Proposed FL.LI — The Word's-Efficacy Law</w:t>
      </w:r>
    </w:p>
    <w:p>
      <w:pPr>
        <w:spacing w:after="80"/>
      </w:pPr>
      <w:r>
        <w:rPr>
          <w:b/>
          <w:bCs/>
          <w:i/>
          <w:iCs/>
          <w:color w:val="1F6B2E"/>
          <w:sz w:val="20"/>
          <w:szCs w:val="20"/>
        </w:rPr>
        <w:t xml:space="preserve">Direct line to hear-and-obey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EEF3F8" w:val="clear"/>
            <w:tcMar>
              <w:top w:type="dxa" w:w="50"/>
              <w:left w:type="dxa" w:w="110"/>
              <w:bottom w:type="dxa" w:w="50"/>
              <w:right w:type="dxa" w:w="110"/>
            </w:tcMar>
          </w:tcPr>
          <w:p>
            <w:r>
              <w:rPr>
                <w:b/>
                <w:bCs/>
                <w:sz w:val="18"/>
                <w:szCs w:val="18"/>
              </w:rPr>
              <w:t xml:space="preserve">Suggested cell</w:t>
            </w:r>
          </w:p>
        </w:tc>
        <w:tc>
          <w:tcPr>
            <w:tcW w:type="dxa" w:w="69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b w:val="false"/>
                <w:bCs w:val="false"/>
                <w:sz w:val="18"/>
                <w:szCs w:val="18"/>
              </w:rPr>
              <w:t xml:space="preserve">P0/GIV (Mind &amp; Will); also GI (Spirit)</w:t>
            </w:r>
          </w:p>
        </w:tc>
      </w:tr>
      <w:tr>
        <w:tc>
          <w:tcPr>
            <w:tcW w:type="dxa" w:w="2400"/>
            <w:tcBorders>
              <w:top w:val="single" w:color="BBBBBB" w:sz="1"/>
              <w:left w:val="single" w:color="BBBBBB" w:sz="1"/>
              <w:bottom w:val="single" w:color="BBBBBB" w:sz="1"/>
              <w:right w:val="single" w:color="BBBBBB" w:sz="1"/>
            </w:tcBorders>
            <w:shd w:fill="EEF3F8" w:val="clear"/>
            <w:tcMar>
              <w:top w:type="dxa" w:w="50"/>
              <w:left w:type="dxa" w:w="110"/>
              <w:bottom w:type="dxa" w:w="50"/>
              <w:right w:type="dxa" w:w="110"/>
            </w:tcMar>
          </w:tcPr>
          <w:p>
            <w:r>
              <w:rPr>
                <w:b/>
                <w:bCs/>
                <w:sz w:val="18"/>
                <w:szCs w:val="18"/>
              </w:rPr>
              <w:t xml:space="preserve">Directionality</w:t>
            </w:r>
          </w:p>
        </w:tc>
        <w:tc>
          <w:tcPr>
            <w:tcW w:type="dxa" w:w="69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b w:val="false"/>
                <w:bCs w:val="false"/>
                <w:sz w:val="18"/>
                <w:szCs w:val="18"/>
              </w:rPr>
              <w:t xml:space="preserve">V (Vertical)</w:t>
            </w:r>
          </w:p>
        </w:tc>
      </w:tr>
      <w:tr>
        <w:tc>
          <w:tcPr>
            <w:tcW w:type="dxa" w:w="2400"/>
            <w:tcBorders>
              <w:top w:val="single" w:color="BBBBBB" w:sz="1"/>
              <w:left w:val="single" w:color="BBBBBB" w:sz="1"/>
              <w:bottom w:val="single" w:color="BBBBBB" w:sz="1"/>
              <w:right w:val="single" w:color="BBBBBB" w:sz="1"/>
            </w:tcBorders>
            <w:shd w:fill="EEF3F8" w:val="clear"/>
            <w:tcMar>
              <w:top w:type="dxa" w:w="50"/>
              <w:left w:type="dxa" w:w="110"/>
              <w:bottom w:type="dxa" w:w="50"/>
              <w:right w:type="dxa" w:w="110"/>
            </w:tcMar>
          </w:tcPr>
          <w:p>
            <w:r>
              <w:rPr>
                <w:b/>
                <w:bCs/>
                <w:sz w:val="18"/>
                <w:szCs w:val="18"/>
              </w:rPr>
              <w:t xml:space="preserve">Confidence</w:t>
            </w:r>
          </w:p>
        </w:tc>
        <w:tc>
          <w:tcPr>
            <w:tcW w:type="dxa" w:w="69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b w:val="false"/>
                <w:bCs w:val="false"/>
                <w:sz w:val="18"/>
                <w:szCs w:val="18"/>
              </w:rPr>
              <w:t xml:space="preserve">Clearly Taught</w:t>
            </w:r>
          </w:p>
        </w:tc>
      </w:tr>
      <w:tr>
        <w:tc>
          <w:tcPr>
            <w:tcW w:type="dxa" w:w="2400"/>
            <w:tcBorders>
              <w:top w:val="single" w:color="BBBBBB" w:sz="1"/>
              <w:left w:val="single" w:color="BBBBBB" w:sz="1"/>
              <w:bottom w:val="single" w:color="BBBBBB" w:sz="1"/>
              <w:right w:val="single" w:color="BBBBBB" w:sz="1"/>
            </w:tcBorders>
            <w:shd w:fill="EEF3F8" w:val="clear"/>
            <w:tcMar>
              <w:top w:type="dxa" w:w="50"/>
              <w:left w:type="dxa" w:w="110"/>
              <w:bottom w:type="dxa" w:w="50"/>
              <w:right w:type="dxa" w:w="110"/>
            </w:tcMar>
          </w:tcPr>
          <w:p>
            <w:r>
              <w:rPr>
                <w:b/>
                <w:bCs/>
                <w:sz w:val="18"/>
                <w:szCs w:val="18"/>
              </w:rPr>
              <w:t xml:space="preserve">Band</w:t>
            </w:r>
          </w:p>
        </w:tc>
        <w:tc>
          <w:tcPr>
            <w:tcW w:type="dxa" w:w="69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b w:val="false"/>
                <w:bCs w:val="false"/>
                <w:sz w:val="18"/>
                <w:szCs w:val="18"/>
              </w:rPr>
              <w:t xml:space="preserve">Band 1</w:t>
            </w:r>
          </w:p>
        </w:tc>
      </w:tr>
      <w:tr>
        <w:tc>
          <w:tcPr>
            <w:tcW w:type="dxa" w:w="2400"/>
            <w:tcBorders>
              <w:top w:val="single" w:color="BBBBBB" w:sz="1"/>
              <w:left w:val="single" w:color="BBBBBB" w:sz="1"/>
              <w:bottom w:val="single" w:color="BBBBBB" w:sz="1"/>
              <w:right w:val="single" w:color="BBBBBB" w:sz="1"/>
            </w:tcBorders>
            <w:shd w:fill="EEF3F8" w:val="clear"/>
            <w:tcMar>
              <w:top w:type="dxa" w:w="50"/>
              <w:left w:type="dxa" w:w="110"/>
              <w:bottom w:type="dxa" w:w="50"/>
              <w:right w:type="dxa" w:w="110"/>
            </w:tcMar>
          </w:tcPr>
          <w:p>
            <w:r>
              <w:rPr>
                <w:b/>
                <w:bCs/>
                <w:sz w:val="18"/>
                <w:szCs w:val="18"/>
              </w:rPr>
              <w:t xml:space="preserve">Layer</w:t>
            </w:r>
          </w:p>
        </w:tc>
        <w:tc>
          <w:tcPr>
            <w:tcW w:type="dxa" w:w="69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b w:val="false"/>
                <w:bCs w:val="false"/>
                <w:sz w:val="18"/>
                <w:szCs w:val="18"/>
              </w:rPr>
              <w:t xml:space="preserve">Operation shading into Substrate</w:t>
            </w:r>
          </w:p>
        </w:tc>
      </w:tr>
      <w:tr>
        <w:tc>
          <w:tcPr>
            <w:tcW w:type="dxa" w:w="2400"/>
            <w:tcBorders>
              <w:top w:val="single" w:color="BBBBBB" w:sz="1"/>
              <w:left w:val="single" w:color="BBBBBB" w:sz="1"/>
              <w:bottom w:val="single" w:color="BBBBBB" w:sz="1"/>
              <w:right w:val="single" w:color="BBBBBB" w:sz="1"/>
            </w:tcBorders>
            <w:shd w:fill="EEF3F8" w:val="clear"/>
            <w:tcMar>
              <w:top w:type="dxa" w:w="50"/>
              <w:left w:type="dxa" w:w="110"/>
              <w:bottom w:type="dxa" w:w="50"/>
              <w:right w:type="dxa" w:w="110"/>
            </w:tcMar>
          </w:tcPr>
          <w:p>
            <w:r>
              <w:rPr>
                <w:b/>
                <w:bCs/>
                <w:sz w:val="18"/>
                <w:szCs w:val="18"/>
              </w:rPr>
              <w:t xml:space="preserve">Operator</w:t>
            </w:r>
          </w:p>
        </w:tc>
        <w:tc>
          <w:tcPr>
            <w:tcW w:type="dxa" w:w="69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b w:val="false"/>
                <w:bCs w:val="false"/>
                <w:sz w:val="18"/>
                <w:szCs w:val="18"/>
              </w:rPr>
              <w:t xml:space="preserve">S+P → C (the Spirit wields the word; the Word it delivers is Christ)</w:t>
            </w:r>
          </w:p>
        </w:tc>
      </w:tr>
      <w:tr>
        <w:tc>
          <w:tcPr>
            <w:tcW w:type="dxa" w:w="2400"/>
            <w:tcBorders>
              <w:top w:val="single" w:color="BBBBBB" w:sz="1"/>
              <w:left w:val="single" w:color="BBBBBB" w:sz="1"/>
              <w:bottom w:val="single" w:color="BBBBBB" w:sz="1"/>
              <w:right w:val="single" w:color="BBBBBB" w:sz="1"/>
            </w:tcBorders>
            <w:shd w:fill="EEF3F8" w:val="clear"/>
            <w:tcMar>
              <w:top w:type="dxa" w:w="50"/>
              <w:left w:type="dxa" w:w="110"/>
              <w:bottom w:type="dxa" w:w="50"/>
              <w:right w:type="dxa" w:w="110"/>
            </w:tcMar>
          </w:tcPr>
          <w:p>
            <w:r>
              <w:rPr>
                <w:b/>
                <w:bCs/>
                <w:sz w:val="18"/>
                <w:szCs w:val="18"/>
              </w:rPr>
              <w:t xml:space="preserve">Mirror field</w:t>
            </w:r>
          </w:p>
        </w:tc>
        <w:tc>
          <w:tcPr>
            <w:tcW w:type="dxa" w:w="6960"/>
            <w:tcBorders>
              <w:top w:val="single" w:color="BBBBBB" w:sz="1"/>
              <w:left w:val="single" w:color="BBBBBB" w:sz="1"/>
              <w:bottom w:val="single" w:color="BBBBBB" w:sz="1"/>
              <w:right w:val="single" w:color="BBBBBB" w:sz="1"/>
            </w:tcBorders>
            <w:tcMar>
              <w:top w:type="dxa" w:w="50"/>
              <w:left w:type="dxa" w:w="110"/>
              <w:bottom w:type="dxa" w:w="50"/>
              <w:right w:type="dxa" w:w="110"/>
            </w:tcMar>
          </w:tcPr>
          <w:p>
            <w:r>
              <w:rPr>
                <w:b w:val="false"/>
                <w:bCs w:val="false"/>
                <w:sz w:val="18"/>
                <w:szCs w:val="18"/>
              </w:rPr>
              <w:t xml:space="preserve">Mirror statement</w:t>
            </w:r>
          </w:p>
        </w:tc>
      </w:tr>
    </w:tbl>
    <w:p>
      <w:pPr>
        <w:spacing w:before="120"/>
      </w:pPr>
    </w:p>
    <w:p>
      <w:pPr>
        <w:spacing w:after="120"/>
      </w:pPr>
      <w:r>
        <w:rPr>
          <w:sz w:val="22"/>
          <w:szCs w:val="22"/>
        </w:rPr>
        <w:t xml:space="preserve">This law is about the power that belongs to God's word itself. The other reception laws are mostly about us — how we hear, receive, abide. This one is about the word: once it goes out and is received in faith, it does what God sent it to do. And there is a depth underneath it, because the Word, finally, is a Person.</w:t>
      </w:r>
    </w:p>
    <w:p>
      <w:pPr>
        <w:pStyle w:val="Heading2"/>
      </w:pPr>
      <w:r>
        <w:t xml:space="preserve">The Scriptural Ground</w:t>
      </w:r>
    </w:p>
    <w:p>
      <w:pPr>
        <w:spacing w:after="20"/>
      </w:pPr>
      <w:r>
        <w:rPr>
          <w:b/>
          <w:bCs/>
          <w:i/>
          <w:iCs/>
          <w:sz w:val="20"/>
          <w:szCs w:val="20"/>
        </w:rPr>
        <w:t xml:space="preserve">Isaiah 55:10-11 (ESV)</w:t>
      </w:r>
    </w:p>
    <w:p>
      <w:pPr>
        <w:spacing w:after="120"/>
      </w:pPr>
      <w:r>
        <w:rPr>
          <w:i/>
          <w:iCs/>
          <w:sz w:val="20"/>
          <w:szCs w:val="20"/>
        </w:rPr>
        <w:t xml:space="preserve">“...so shall my word be that goes out from my mouth; it shall not return to me empty, but it shall accomplish that which I purpose, and shall succeed in the thing for which I sent it.”</w:t>
      </w:r>
    </w:p>
    <w:p>
      <w:pPr>
        <w:spacing w:after="20"/>
      </w:pPr>
      <w:r>
        <w:rPr>
          <w:b/>
          <w:bCs/>
          <w:i/>
          <w:iCs/>
          <w:sz w:val="20"/>
          <w:szCs w:val="20"/>
        </w:rPr>
        <w:t xml:space="preserve">Jeremiah 23:29 (ESV)</w:t>
      </w:r>
    </w:p>
    <w:p>
      <w:pPr>
        <w:spacing w:after="120"/>
      </w:pPr>
      <w:r>
        <w:rPr>
          <w:i/>
          <w:iCs/>
          <w:sz w:val="20"/>
          <w:szCs w:val="20"/>
        </w:rPr>
        <w:t xml:space="preserve">“Is not my word like fire, declares the Lord, and like a hammer that breaks the rock in pieces?”</w:t>
      </w:r>
    </w:p>
    <w:p>
      <w:pPr>
        <w:spacing w:after="20"/>
      </w:pPr>
      <w:r>
        <w:rPr>
          <w:b/>
          <w:bCs/>
          <w:i/>
          <w:iCs/>
          <w:sz w:val="20"/>
          <w:szCs w:val="20"/>
        </w:rPr>
        <w:t xml:space="preserve">Hebrews 4:12 (ESV)</w:t>
      </w:r>
    </w:p>
    <w:p>
      <w:pPr>
        <w:spacing w:after="120"/>
      </w:pPr>
      <w:r>
        <w:rPr>
          <w:i/>
          <w:iCs/>
          <w:sz w:val="20"/>
          <w:szCs w:val="20"/>
        </w:rPr>
        <w:t xml:space="preserve">“For the word of God is living and active, sharper than any two-edged sword... discerning the thoughts and intentions of the heart.”</w:t>
      </w:r>
    </w:p>
    <w:p>
      <w:pPr>
        <w:spacing w:after="20"/>
      </w:pPr>
      <w:r>
        <w:rPr>
          <w:b/>
          <w:bCs/>
          <w:i/>
          <w:iCs/>
          <w:sz w:val="20"/>
          <w:szCs w:val="20"/>
        </w:rPr>
        <w:t xml:space="preserve">1 Thessalonians 2:13 (ESV)</w:t>
      </w:r>
    </w:p>
    <w:p>
      <w:pPr>
        <w:spacing w:after="120"/>
      </w:pPr>
      <w:r>
        <w:rPr>
          <w:i/>
          <w:iCs/>
          <w:sz w:val="20"/>
          <w:szCs w:val="20"/>
        </w:rPr>
        <w:t xml:space="preserve">“...the word of God, which is at work in you believers.”</w:t>
      </w:r>
    </w:p>
    <w:p>
      <w:pPr>
        <w:pStyle w:val="Heading2"/>
      </w:pPr>
      <w:r>
        <w:t xml:space="preserve">The Mechanism</w:t>
      </w:r>
    </w:p>
    <w:p>
      <w:pPr>
        <w:spacing w:after="120"/>
      </w:pPr>
      <w:r>
        <w:rPr>
          <w:sz w:val="22"/>
          <w:szCs w:val="22"/>
        </w:rPr>
        <w:t xml:space="preserve">God says His word “shall not return to me empty, but it shall accomplish that which I purpose” (Isa. 55:11). It is “like fire... like a hammer that breaks the rock” (Jer. 23:29); “living and active, sharper than any two-edged sword” (Heb. 4:12); and “at work in you believers” (1 Thess. 2:13). The word is not inert information waiting for us to make it effective; it carries its own working power.</w:t>
      </w:r>
    </w:p>
    <w:p>
      <w:pPr>
        <w:spacing w:after="120"/>
      </w:pPr>
      <w:r>
        <w:rPr>
          <w:sz w:val="22"/>
          <w:szCs w:val="22"/>
        </w:rPr>
        <w:t xml:space="preserve">Two things keep this from being misread. First, the word is the Spirit's instrument — “the sword of the Spirit, which is the word of God” (Eph. 6:17) — so its power is the Spirit's power, not a force we wield. Second, and deeper: the personal Word, the Logos, is Christ Himself (John 1:1). The written and spoken word is the word about the Word, and the means by which He comes to us. So when the word does its work, it is finally Christ, by His Spirit, doing it — which is why receiving the word is, in the end, receiving Him (Rom. 10:17).</w:t>
      </w:r>
    </w:p>
    <w:p>
      <w:pPr>
        <w:pStyle w:val="Heading2"/>
      </w:pPr>
      <w:r>
        <w:t xml:space="preserve">The Mirror</w:t>
      </w:r>
    </w:p>
    <w:p>
      <w:pPr>
        <w:spacing w:after="120"/>
      </w:pPr>
      <w:r>
        <w:rPr>
          <w:sz w:val="22"/>
          <w:szCs w:val="22"/>
        </w:rPr>
        <w:t xml:space="preserve">The dark side is the word robbed of its working — “made void” by our traditions (Mark 7:13), or heard without being “united by faith,” so that it “did not benefit them” (Heb. 4:2). The word's power is real, but it is not magic; received in unbelief or buried under our own rules, it does not do its work in us.</w:t>
      </w:r>
    </w:p>
    <w:p>
      <w:pPr>
        <w:spacing w:after="120" w:before="80"/>
      </w:pPr>
      <w:r>
        <w:rPr>
          <w:b/>
          <w:bCs/>
          <w:sz w:val="22"/>
          <w:szCs w:val="22"/>
        </w:rPr>
        <w:t xml:space="preserve">Proposed Law (newer / still-being-tested): God's word, sent and received in faith, accomplishes the purpose for which He sent it; it does not return empty. Its power is the Spirit's, wielding the word as His instrument, and the Word it delivers is finally Christ Himself — so to receive the word is to receive Him.</w:t>
      </w:r>
    </w:p>
    <w:p>
      <w:pPr>
        <w:spacing w:after="120"/>
      </w:pPr>
      <w:r>
        <w:rPr>
          <w:i/>
          <w:iCs/>
          <w:sz w:val="21"/>
          <w:szCs w:val="21"/>
        </w:rPr>
        <w:t xml:space="preserve">Certainty: Clearly Taught. Isaiah, Jeremiah, the writer of Hebrews, and Paul all state it; no tradition disputes the living power of God's word. Band 1. Operator S+P pointing to C: the Spirit wields the uttered word, and the personal Word is Christ — so the catalog places this by the doctrine of the Logos, not by inventing a new operator.</w:t>
      </w:r>
    </w:p>
    <w:p>
      <w:pPr>
        <w:spacing w:after="200"/>
      </w:pPr>
      <w:r>
        <w:rPr>
          <w:i/>
          <w:iCs/>
          <w:color w:val="666666"/>
          <w:sz w:val="19"/>
          <w:szCs w:val="19"/>
        </w:rPr>
        <w:t xml:space="preserve">Editor's note: the John 1:1 (Logos = Christ) point is built into the law itself, which is why no “Word-operated” operator is needed.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160"/>
      <w:outlineLvl w:val="1"/>
    </w:pPr>
    <w:rPr>
      <w:rFonts w:ascii="Arial" w:cs="Arial" w:eastAsia="Arial" w:hAnsi="Arial"/>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2026-06-15T22:58:06.444Z</dcterms:created>
  <dcterms:modified xsi:type="dcterms:W3CDTF">2026-06-15T22:58:06.445Z</dcterms:modified>
</cp:coreProperties>
</file>

<file path=docProps/custom.xml><?xml version="1.0" encoding="utf-8"?>
<Properties xmlns="http://schemas.openxmlformats.org/officeDocument/2006/custom-properties" xmlns:vt="http://schemas.openxmlformats.org/officeDocument/2006/docPropsVTypes"/>
</file>