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ake-home-sheet-session-12-the-return"/>
    <w:p>
      <w:pPr>
        <w:pStyle w:val="Heading1"/>
      </w:pPr>
      <w:r>
        <w:t xml:space="preserve">Take-Home Sheet — Session 12: The Return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Restart (or continue) one daily practice — just one — chosen tonight and written in the journal. Not the whole rhythm. One.</w:t>
      </w:r>
    </w:p>
    <w:p>
      <w:pPr>
        <w:pStyle w:val="BodyText"/>
      </w:pPr>
      <w:r>
        <w:rPr>
          <w:b/>
          <w:bCs/>
        </w:rPr>
        <w:t xml:space="preserve">Week one:</w:t>
      </w:r>
      <w:r>
        <w:t xml:space="preserve"> </w:t>
      </w:r>
      <w:r>
        <w:t xml:space="preserve">☐ ☐ ☐ ☐ ☐ ☐ ☐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two:</w:t>
      </w:r>
      <w:r>
        <w:t xml:space="preserve"> </w:t>
      </w:r>
      <w:r>
        <w:t xml:space="preserve">☐ ☐ ☐ ☐ ☐ ☐ ☐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2026-09-09T19:08:49Z</dcterms:created>
  <dcterms:modified xsi:type="dcterms:W3CDTF">2026-09-09T19:08:49Z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