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9aa10258b4fc87f11f21de67e92df6074b70695"/>
    <w:p>
      <w:pPr>
        <w:pStyle w:val="Heading1"/>
      </w:pPr>
      <w:r>
        <w:t xml:space="preserve">Take-Home Sheet — Session 22: Commissioning the Companions</w:t>
      </w:r>
    </w:p>
    <w:p>
      <w:r>
        <w:pict>
          <v:rect style="width:0;height:1.5pt" o:hralign="center" o:hrstd="t" o:hr="t"/>
        </w:pict>
      </w:r>
    </w:p>
    <w:bookmarkStart w:id="9" w:name="the-practice-week-one"/>
    <w:p>
      <w:pPr>
        <w:spacing w:after="140"/>
      </w:pPr>
      <w:r>
        <w:rPr>
          <w:i/>
          <w:iCs/>
          <w:sz w:val="20"/>
          <w:szCs w:val="20"/>
        </w:rPr>
        <w:t xml:space="preserve">The standing practice, every day of the whole journey — morning, five minutes: “Lord, what are you up to today, and what do you want me to notice?” Evening, one journal line: “What did I notice today?”</w:t>
      </w:r>
    </w:p>
    <w:p>
      <w:pPr>
        <w:pStyle w:val="Heading2"/>
      </w:pPr>
      <w:r>
        <w:t xml:space="preserve">1. The practice — week one</w:t>
      </w:r>
    </w:p>
    <w:p>
      <w:pPr>
        <w:pStyle w:val="FirstParagraph"/>
      </w:pPr>
      <w:r>
        <w:t xml:space="preserve">For the new FC1s: the Leader Lab rhythm begins — bring one vital-signs observation from tonight’s room to Lab 1 of the serving cycle. For everyone: the Rhythm Card and the Going Deeper interlude practices.</w:t>
      </w:r>
    </w:p>
    <w:p>
      <w:pPr>
        <w:pStyle w:val="BodyText"/>
      </w:pPr>
      <w:r>
        <w:rPr>
          <w:b/>
          <w:bCs/>
        </w:rPr>
        <w:t xml:space="preserve">Week one</w:t>
      </w:r>
      <w:r>
        <w:t xml:space="preserve"> </w:t>
      </w:r>
      <w:r>
        <w:rPr>
          <w:i/>
          <w:iCs/>
        </w:rPr>
        <w:t xml:space="preserve">(one box per day; if the practice asks for fewer, check the days you did it)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bookmarkEnd w:id="9"/>
    <w:bookmarkStart w:id="10" w:name="the-end-of-week-one-check-in"/>
    <w:p>
      <w:pPr>
        <w:pStyle w:val="Heading2"/>
      </w:pPr>
      <w:r>
        <w:t xml:space="preserve">2. The end-of-week-one check-in</w:t>
      </w:r>
    </w:p>
    <w:p>
      <w:pPr>
        <w:pStyle w:val="FirstParagraph"/>
      </w:pPr>
      <w:r>
        <w:t xml:space="preserve">My check-in partner for this cycle is:</w:t>
      </w:r>
      <w:r>
        <w:t xml:space="preserve"> </w:t>
      </w:r>
      <w:r>
        <w:rPr>
          <w:b/>
          <w:bCs/>
        </w:rPr>
        <w:t xml:space="preserve">______________________</w:t>
      </w:r>
      <w:r>
        <w:t xml:space="preserve"> </w:t>
      </w:r>
      <w:r>
        <w:rPr>
          <w:i/>
          <w:iCs/>
        </w:rPr>
        <w:t xml:space="preserve">(named aloud at commissioning; a new partner each cycle)</w:t>
      </w:r>
    </w:p>
    <w:p>
      <w:pPr>
        <w:pStyle w:val="BodyText"/>
      </w:pPr>
      <w:r>
        <w:t xml:space="preserve">At the end of week one, connect with your partner and report how it’s going</w:t>
      </w:r>
      <w:r>
        <w:t xml:space="preserve"> </w:t>
      </w:r>
      <w:r>
        <w:t xml:space="preserve">against the practice. A text, a call, or a hallway conversation all count.</w:t>
      </w:r>
      <w:r>
        <w:t xml:space="preserve"> </w:t>
      </w:r>
      <w:r>
        <w:t xml:space="preserve">You are not grading each other; you are expecting each other.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bookmarkEnd w:id="10"/>
    <w:bookmarkStart w:id="11" w:name="the-practice-week-two"/>
    <w:p>
      <w:pPr>
        <w:pStyle w:val="Heading2"/>
      </w:pPr>
      <w:r>
        <w:t xml:space="preserve">3. The practice — week two</w:t>
      </w:r>
    </w:p>
    <w:p>
      <w:pPr>
        <w:pStyle w:val="FirstParagraph"/>
      </w:pPr>
      <w:r>
        <w:t xml:space="preserve">Continue or deepen the same practice, as the session specifies; journal</w:t>
      </w:r>
      <w:r>
        <w:t xml:space="preserve"> </w:t>
      </w:r>
      <w:r>
        <w:t xml:space="preserve">what happens.</w:t>
      </w:r>
    </w:p>
    <w:p>
      <w:pPr>
        <w:pStyle w:val="BodyText"/>
      </w:pPr>
      <w:r>
        <w:rPr>
          <w:b/>
          <w:bCs/>
        </w:rPr>
        <w:t xml:space="preserve">Week two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bookmarkEnd w:id="11"/>
    <w:bookmarkStart w:id="12" w:name="one-sentence-of-preparation"/>
    <w:p>
      <w:pPr>
        <w:pStyle w:val="Heading2"/>
      </w:pPr>
      <w:r>
        <w:t xml:space="preserve">4. One sentence of preparation</w:t>
      </w:r>
    </w:p>
    <w:p>
      <w:pPr>
        <w:pStyle w:val="FirstParagraph"/>
      </w:pPr>
      <w:r>
        <w:t xml:space="preserve">Set at commissioning from the session’s materials.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 missed box is never a failure — it is an invitation to return.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2026-09-09T21:53:44Z</dcterms:created>
  <dcterms:modified xsi:type="dcterms:W3CDTF">2026-09-09T21:53:44Z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