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644c0494c16442d0a2d688d4dfbcd7ff28abedc"/>
    <w:p>
      <w:pPr>
        <w:pStyle w:val="Heading1"/>
      </w:pPr>
      <w:r>
        <w:t xml:space="preserve">Session 14, Evening Form — SECOND RUNNING: BLOCK A</w:t>
      </w:r>
    </w:p>
    <w:p>
      <w:pPr>
        <w:pStyle w:val="FirstParagraph"/>
      </w:pPr>
      <w:r>
        <w:rPr>
          <w:b/>
          <w:bCs/>
        </w:rPr>
        <w:t>ABSORBED IN THE CURRENT-CONDITION WALK (2026-09-16). This session exists to give every willing teen a full leading rep — and in the current room the teens hand leadership back and forth every evening: the rotation is the standing pattern, not a special night. Any re-run middle (PROAPT or Garden) can be called at a planning lab. This evening stands ready for a larger cohort where the rotation needs its own protected slot;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docs/getting-started/week-14-second-running-a.md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Give one more willing teen a complete leading rep — front to back, in front of the cohort — on a practice the room already owns. Nothing new is taught tonight; the every-teen rotation is the curriculum.</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7:25-7:27</w:t>
            </w:r>
          </w:p>
        </w:tc>
        <w:tc>
          <w:tcPr/>
          <w:p>
            <w:pPr>
              <w:pStyle w:val="Compact"/>
            </w:pPr>
            <w:r>
              <w:t xml:space="preserve">Block 2: The mission round</w:t>
            </w:r>
          </w:p>
        </w:tc>
        <w:tc>
          <w:tcPr/>
          <w:p>
            <w:pPr>
              <w:pStyle w:val="Compact"/>
            </w:pPr>
            <w:r>
              <w:t xml:space="preserve">Content presenter; container holder watching the room</w:t>
            </w:r>
          </w:p>
        </w:tc>
      </w:tr>
      <w:tr>
        <w:tc>
          <w:tcPr/>
          <w:p>
            <w:pPr>
              <w:pStyle w:val="Compact"/>
            </w:pPr>
            <w:r>
              <w:t xml:space="preserve">7:27-7:28</w:t>
            </w:r>
          </w:p>
        </w:tc>
        <w:tc>
          <w:tcPr/>
          <w:p>
            <w:pPr>
              <w:pStyle w:val="Compact"/>
            </w:pPr>
            <w:r>
              <w:t xml:space="preserve">Block 3: Why tonight — the rotation’s charter</w:t>
            </w:r>
          </w:p>
        </w:tc>
        <w:tc>
          <w:tcPr/>
          <w:p>
            <w:pPr>
              <w:pStyle w:val="Compact"/>
            </w:pPr>
            <w:r>
              <w:t xml:space="preserve">Content presenter; container holder watching the room</w:t>
            </w:r>
          </w:p>
        </w:tc>
      </w:tr>
      <w:tr>
        <w:tc>
          <w:tcPr/>
          <w:p>
            <w:pPr>
              <w:pStyle w:val="Compact"/>
            </w:pPr>
            <w:r>
              <w:t xml:space="preserve">7:28-7:35</w:t>
            </w:r>
          </w:p>
        </w:tc>
        <w:tc>
          <w:tcPr/>
          <w:p>
            <w:pPr>
              <w:pStyle w:val="Compact"/>
            </w:pPr>
            <w:r>
              <w:t xml:space="preserve">Block 4A: PROAPT walked together — fresh passage</w:t>
            </w:r>
          </w:p>
        </w:tc>
        <w:tc>
          <w:tcPr/>
          <w:p>
            <w:pPr>
              <w:pStyle w:val="Compact"/>
            </w:pPr>
            <w:r>
              <w:t xml:space="preserve">Content presenter; container holder watching the room</w:t>
            </w:r>
          </w:p>
        </w:tc>
      </w:tr>
      <w:tr>
        <w:tc>
          <w:tcPr/>
          <w:p>
            <w:pPr>
              <w:pStyle w:val="Compact"/>
            </w:pPr>
            <w:r>
              <w:t xml:space="preserve">7:35-7:36</w:t>
            </w:r>
          </w:p>
        </w:tc>
        <w:tc>
          <w:tcPr/>
          <w:p>
            <w:pPr>
              <w:pStyle w:val="Compact"/>
            </w:pPr>
            <w:r>
              <w:t xml:space="preserve">Block 5A: Bridge to pairs</w:t>
            </w:r>
          </w:p>
        </w:tc>
        <w:tc>
          <w:tcPr/>
          <w:p>
            <w:pPr>
              <w:pStyle w:val="Compact"/>
            </w:pPr>
            <w:r>
              <w:t xml:space="preserve">Content presenter; container holder watching the room</w:t>
            </w:r>
          </w:p>
        </w:tc>
      </w:tr>
      <w:tr>
        <w:tc>
          <w:tcPr/>
          <w:p>
            <w:pPr>
              <w:pStyle w:val="Compact"/>
            </w:pPr>
            <w:r>
              <w:t xml:space="preserve">7:36-7:49</w:t>
            </w:r>
          </w:p>
        </w:tc>
        <w:tc>
          <w:tcPr/>
          <w:p>
            <w:pPr>
              <w:pStyle w:val="Compact"/>
            </w:pPr>
            <w:r>
              <w:t xml:space="preserve">Block 6A: PROAPT in family pairs</w:t>
            </w:r>
          </w:p>
        </w:tc>
        <w:tc>
          <w:tcPr/>
          <w:p>
            <w:pPr>
              <w:pStyle w:val="Compact"/>
            </w:pPr>
            <w:r>
              <w:t xml:space="preserve">Content presenter; container holder watching the room</w:t>
            </w:r>
          </w:p>
        </w:tc>
      </w:tr>
      <w:tr>
        <w:tc>
          <w:tcPr/>
          <w:p>
            <w:pPr>
              <w:pStyle w:val="Compact"/>
            </w:pPr>
            <w:r>
              <w:t xml:space="preserve">7:49-7:53</w:t>
            </w:r>
          </w:p>
        </w:tc>
        <w:tc>
          <w:tcPr/>
          <w:p>
            <w:pPr>
              <w:pStyle w:val="Compact"/>
            </w:pPr>
            <w:r>
              <w:t xml:space="preserve">Block 7A: Tell step in the pair</w:t>
            </w:r>
          </w:p>
        </w:tc>
        <w:tc>
          <w:tcPr/>
          <w:p>
            <w:pPr>
              <w:pStyle w:val="Compact"/>
            </w:pPr>
            <w:r>
              <w:t xml:space="preserve">Content presenter; container holder watching the room</w:t>
            </w:r>
          </w:p>
        </w:tc>
      </w:tr>
      <w:tr>
        <w:tc>
          <w:tcPr/>
          <w:p>
            <w:pPr>
              <w:pStyle w:val="Compact"/>
            </w:pPr>
            <w:r>
              <w:t xml:space="preserve">7:53-7:55</w:t>
            </w:r>
          </w:p>
        </w:tc>
        <w:tc>
          <w:tcPr/>
          <w:p>
            <w:pPr>
              <w:pStyle w:val="Compact"/>
            </w:pPr>
            <w:r>
              <w:t xml:space="preserve">Block 8A: Merge and between-session</w:t>
            </w:r>
          </w:p>
        </w:tc>
        <w:tc>
          <w:tcPr/>
          <w:p>
            <w:pPr>
              <w:pStyle w:val="Compact"/>
            </w:pPr>
            <w:r>
              <w:t xml:space="preserve">Container holder leads the merge; content presenter supporting</w:t>
            </w:r>
          </w:p>
        </w:tc>
      </w:tr>
      <w:tr>
        <w:tc>
          <w:tcPr/>
          <w:p>
            <w:pPr>
              <w:pStyle w:val="Compact"/>
            </w:pPr>
            <w:r>
              <w:t xml:space="preserve">7:55-7:59</w:t>
            </w:r>
          </w:p>
        </w:tc>
        <w:tc>
          <w:tcPr/>
          <w:p>
            <w:pPr>
              <w:pStyle w:val="Compact"/>
            </w:pPr>
            <w:r>
              <w:t xml:space="preserve">Block 4B: The round modeled — one card, whole room</w:t>
            </w:r>
          </w:p>
        </w:tc>
        <w:tc>
          <w:tcPr/>
          <w:p>
            <w:pPr>
              <w:pStyle w:val="Compact"/>
            </w:pPr>
            <w:r>
              <w:t xml:space="preserve">Content presenter; container holder watching the room</w:t>
            </w:r>
          </w:p>
        </w:tc>
      </w:tr>
      <w:tr>
        <w:tc>
          <w:tcPr/>
          <w:p>
            <w:pPr>
              <w:pStyle w:val="Compact"/>
            </w:pPr>
            <w:r>
              <w:t xml:space="preserve">7:59-8:00</w:t>
            </w:r>
          </w:p>
        </w:tc>
        <w:tc>
          <w:tcPr/>
          <w:p>
            <w:pPr>
              <w:pStyle w:val="Compact"/>
            </w:pPr>
            <w:r>
              <w:t xml:space="preserve">Block 5B: Bridge to pairs</w:t>
            </w:r>
          </w:p>
        </w:tc>
        <w:tc>
          <w:tcPr/>
          <w:p>
            <w:pPr>
              <w:pStyle w:val="Compact"/>
            </w:pPr>
            <w:r>
              <w:t xml:space="preserve">Content presenter; container holder watching the room</w:t>
            </w:r>
          </w:p>
        </w:tc>
      </w:tr>
      <w:tr>
        <w:tc>
          <w:tcPr/>
          <w:p>
            <w:pPr>
              <w:pStyle w:val="Compact"/>
            </w:pPr>
            <w:r>
              <w:t xml:space="preserve">8:00-8:18</w:t>
            </w:r>
          </w:p>
        </w:tc>
        <w:tc>
          <w:tcPr/>
          <w:p>
            <w:pPr>
              <w:pStyle w:val="Compact"/>
            </w:pPr>
            <w:r>
              <w:t xml:space="preserve">Block 6B: Family Conversation Cards in pairs</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7B: Merge and between-session</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1839438652a206d61fbe04e05cbdfd640dab09e"/>
    <w:p>
      <w:pPr>
        <w:pStyle w:val="Heading2"/>
      </w:pPr>
      <w:r>
        <w:t xml:space="preserve">The homework handout (Session 14, two weeks)</w:t>
      </w:r>
    </w:p>
    <w:p>
      <w:pPr>
        <w:pStyle w:val="Compact"/>
        <w:numPr>
          <w:ilvl w:val="0"/>
          <w:numId w:val="1001"/>
        </w:numPr>
      </w:pPr>
      <w:r>
        <w:rPr>
          <w:b/>
          <w:bCs/>
        </w:rPr>
        <w:t>The homework practice, week one.</w:t>
      </w:r>
      <w:r>
        <w:t xml:space="preserve"> </w:t>
      </w:r>
      <w:r>
        <w:t xml:space="preserve">Continue the daily rhythm — the morning question, the evening journal note, PROAPT one short passage. And each family pair finishes at home anything the evening opened: the passage’s Tell said again at the table (Option 1), or one more card pulled during the week (Option 2).</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14 returns to the second and third boxes — Others and God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