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e206c11f23ddb765e4beea2bcac09cb36f893a5"/>
    <w:p>
      <w:pPr>
        <w:pStyle w:val="Heading1"/>
      </w:pPr>
      <w:r>
        <w:t xml:space="preserve">Session 19, Evening Form — SECOND RUNNING: BLOCK B</w:t>
      </w:r>
    </w:p>
    <w:p>
      <w:pPr>
        <w:pStyle w:val="FirstParagraph"/>
      </w:pPr>
      <w:r>
        <w:rPr>
          <w:b/>
          <w:bCs/>
        </w:rPr>
        <w:t>MOVED TO THE PLANNING LAB IN THE CURRENT-CONDITION WALK (2026-09-16). The mercy-card rehearsal (both teaching reps, with feedback) happens at the off-week planning lab with John rather than as its own evening; Session 20 then teaches the cards to the room as designed. This separate rehearsal evening stands ready for a larger cohort of Companions-in-Formation; back up to it whenever the room grows.</w:t>
      </w:r>
    </w:p>
    <w:p>
      <w:pPr>
        <w:pStyle w:val="FirstParagraph"/>
      </w:pPr>
      <w:r>
        <w:rPr>
          <w:b/>
          <w:bCs/>
        </w:rPr>
        <w:t xml:space="preserve">AUTO-ADAPTED DRAFT from</w:t>
      </w:r>
      <w:r>
        <w:rPr>
          <w:b/>
          <w:bCs/>
        </w:rPr>
        <w:t xml:space="preserve"> </w:t>
      </w:r>
      <w:r>
        <w:rPr>
          <w:rStyle w:val="VerbatimChar"/>
          <w:b/>
          <w:bCs/>
        </w:rPr>
        <w:t xml:space="preserve">docs/getting-started/week-19-second-running-b.md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Give every Companion-in-Formation two live small-room reps teaching the Signs Card and the Path Home Card — coached from inside the cluster, with one specific “keep” and one specific “adjust” after each rep — so that next Wednesday at The Long Walk they carry the same teaching to the whole room, steady, as their final rep before commissioning.</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7:25-7:31</w:t>
            </w:r>
          </w:p>
        </w:tc>
        <w:tc>
          <w:tcPr/>
          <w:p>
            <w:pPr>
              <w:pStyle w:val="Compact"/>
            </w:pPr>
            <w:r>
              <w:t xml:space="preserve">Block 2: The frame — why these two cards</w:t>
            </w:r>
          </w:p>
        </w:tc>
        <w:tc>
          <w:tcPr/>
          <w:p>
            <w:pPr>
              <w:pStyle w:val="Compact"/>
            </w:pPr>
            <w:r>
              <w:t xml:space="preserve">Content presenter; container holder watching the room</w:t>
            </w:r>
          </w:p>
        </w:tc>
      </w:tr>
      <w:tr>
        <w:tc>
          <w:tcPr/>
          <w:p>
            <w:pPr>
              <w:pStyle w:val="Compact"/>
            </w:pPr>
            <w:r>
              <w:t xml:space="preserve">7:31-7:32</w:t>
            </w:r>
          </w:p>
        </w:tc>
        <w:tc>
          <w:tcPr/>
          <w:p>
            <w:pPr>
              <w:pStyle w:val="Compact"/>
            </w:pPr>
            <w:r>
              <w:t xml:space="preserve">Block 3: Bridge and split</w:t>
            </w:r>
          </w:p>
        </w:tc>
        <w:tc>
          <w:tcPr/>
          <w:p>
            <w:pPr>
              <w:pStyle w:val="Compact"/>
            </w:pPr>
            <w:r>
              <w:t xml:space="preserve">Content presenter; container holder watching the room</w:t>
            </w:r>
          </w:p>
        </w:tc>
      </w:tr>
      <w:tr>
        <w:tc>
          <w:tcPr/>
          <w:p>
            <w:pPr>
              <w:pStyle w:val="Compact"/>
            </w:pPr>
            <w:r>
              <w:t xml:space="preserve">7:32-7:52</w:t>
            </w:r>
          </w:p>
        </w:tc>
        <w:tc>
          <w:tcPr/>
          <w:p>
            <w:pPr>
              <w:pStyle w:val="Compact"/>
            </w:pPr>
            <w:r>
              <w:t xml:space="preserve">Block 4: First teaching rep — both cards</w:t>
            </w:r>
          </w:p>
        </w:tc>
        <w:tc>
          <w:tcPr/>
          <w:p>
            <w:pPr>
              <w:pStyle w:val="Compact"/>
            </w:pPr>
            <w:r>
              <w:t xml:space="preserve">Content presenter; container holder watching the room</w:t>
            </w:r>
          </w:p>
        </w:tc>
      </w:tr>
      <w:tr>
        <w:tc>
          <w:tcPr/>
          <w:p>
            <w:pPr>
              <w:pStyle w:val="Compact"/>
            </w:pPr>
            <w:r>
              <w:t xml:space="preserve">7:52-7:57</w:t>
            </w:r>
          </w:p>
        </w:tc>
        <w:tc>
          <w:tcPr/>
          <w:p>
            <w:pPr>
              <w:pStyle w:val="Compact"/>
            </w:pPr>
            <w:r>
              <w:t xml:space="preserve">Block 5: pair feedback — one keep, one adjust</w:t>
            </w:r>
          </w:p>
        </w:tc>
        <w:tc>
          <w:tcPr/>
          <w:p>
            <w:pPr>
              <w:pStyle w:val="Compact"/>
            </w:pPr>
            <w:r>
              <w:t xml:space="preserve">Content presenter; container holder watching the room</w:t>
            </w:r>
          </w:p>
        </w:tc>
      </w:tr>
      <w:tr>
        <w:tc>
          <w:tcPr/>
          <w:p>
            <w:pPr>
              <w:pStyle w:val="Compact"/>
            </w:pPr>
            <w:r>
              <w:t xml:space="preserve">7:57-7:59</w:t>
            </w:r>
          </w:p>
        </w:tc>
        <w:tc>
          <w:tcPr/>
          <w:p>
            <w:pPr>
              <w:pStyle w:val="Compact"/>
            </w:pPr>
            <w:r>
              <w:t xml:space="preserve">Rotation</w:t>
            </w:r>
          </w:p>
        </w:tc>
        <w:tc>
          <w:tcPr/>
          <w:p>
            <w:pPr>
              <w:pStyle w:val="Compact"/>
            </w:pPr>
            <w:r>
              <w:t xml:space="preserve">Content presenter; container holder watching the room</w:t>
            </w:r>
          </w:p>
        </w:tc>
      </w:tr>
      <w:tr>
        <w:tc>
          <w:tcPr/>
          <w:p>
            <w:pPr>
              <w:pStyle w:val="Compact"/>
            </w:pPr>
            <w:r>
              <w:t xml:space="preserve">7:59-8:15</w:t>
            </w:r>
          </w:p>
        </w:tc>
        <w:tc>
          <w:tcPr/>
          <w:p>
            <w:pPr>
              <w:pStyle w:val="Compact"/>
            </w:pPr>
            <w:r>
              <w:t xml:space="preserve">Block 6: Second teaching rep — both cards, tightened</w:t>
            </w:r>
          </w:p>
        </w:tc>
        <w:tc>
          <w:tcPr/>
          <w:p>
            <w:pPr>
              <w:pStyle w:val="Compact"/>
            </w:pPr>
            <w:r>
              <w:t xml:space="preserve">Content presenter; container holder watching the room</w:t>
            </w:r>
          </w:p>
        </w:tc>
      </w:tr>
      <w:tr>
        <w:tc>
          <w:tcPr/>
          <w:p>
            <w:pPr>
              <w:pStyle w:val="Compact"/>
            </w:pPr>
            <w:r>
              <w:t xml:space="preserve">8:15-8:19</w:t>
            </w:r>
          </w:p>
        </w:tc>
        <w:tc>
          <w:tcPr/>
          <w:p>
            <w:pPr>
              <w:pStyle w:val="Compact"/>
            </w:pPr>
            <w:r>
              <w:t xml:space="preserve">Block 7: Second pair feedback</w:t>
            </w:r>
          </w:p>
        </w:tc>
        <w:tc>
          <w:tcPr/>
          <w:p>
            <w:pPr>
              <w:pStyle w:val="Compact"/>
            </w:pPr>
            <w:r>
              <w:t xml:space="preserve">Content presenter; container holder watching the room</w:t>
            </w:r>
          </w:p>
        </w:tc>
      </w:tr>
      <w:tr>
        <w:tc>
          <w:tcPr/>
          <w:p>
            <w:pPr>
              <w:pStyle w:val="Compact"/>
            </w:pPr>
            <w:r>
              <w:t xml:space="preserve">8:19-8:20</w:t>
            </w:r>
          </w:p>
        </w:tc>
        <w:tc>
          <w:tcPr/>
          <w:p>
            <w:pPr>
              <w:pStyle w:val="Compact"/>
            </w:pPr>
            <w:r>
              <w:t xml:space="preserve">Block 8: Merge and between-session</w:t>
            </w:r>
          </w:p>
        </w:tc>
        <w:tc>
          <w:tcPr/>
          <w:p>
            <w:pPr>
              <w:pStyle w:val="Compact"/>
            </w:pPr>
            <w:r>
              <w:t xml:space="preserve">Container holder leads the merge; content presenter supporting</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f1d52534113531fb75a1426d84b96bf4e7357fd"/>
    <w:p>
      <w:pPr>
        <w:pStyle w:val="Heading2"/>
      </w:pPr>
      <w:r>
        <w:t xml:space="preserve">The homework handout (Session 19, two weeks)</w:t>
      </w:r>
    </w:p>
    <w:p>
      <w:pPr>
        <w:pStyle w:val="Compact"/>
        <w:numPr>
          <w:ilvl w:val="0"/>
          <w:numId w:val="1001"/>
        </w:numPr>
      </w:pPr>
      <w:r>
        <w:rPr>
          <w:b/>
          <w:bCs/>
        </w:rPr>
        <w:t>The homework practice, week one.</w:t>
      </w:r>
      <w:r>
        <w:t xml:space="preserve"> </w:t>
      </w:r>
      <w:r>
        <w:t xml:space="preserve">Both cards go home tonight, one set per participant folder. Each family finds them this week and puts them somewhere findable — a drawer everyone knows, the inside of a cabinet door, the family Bible. The point of these two cards is that they gather dust in a known location, because the person who eventually needs them will not be in a room like this when they do.</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19 rehearses across the whole map — all four Connects, in the Companions' hands.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2026-09-09T17:07:38Z</dcterms:created>
  <dcterms:modified xsi:type="dcterms:W3CDTF">2026-09-09T17:07:38Z</dcterms:modified>
</cp:coreProperties>
</file>

<file path=docProps/custom.xml><?xml version="1.0" encoding="utf-8"?>
<Properties xmlns="http://schemas.openxmlformats.org/officeDocument/2006/custom-properties" xmlns:vt="http://schemas.openxmlformats.org/officeDocument/2006/docPropsVTypes"/>
</file>