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e65aaa412f98828faa47b76feee1944d25f390"/>
    <w:p>
      <w:pPr>
        <w:pStyle w:val="Heading1"/>
      </w:pPr>
      <w:r>
        <w:t xml:space="preserve">Session 8, Evening Form — HEARING GOD — PROAPT II</w:t>
      </w:r>
    </w:p>
    <w:p>
      <w:pPr>
        <w:pStyle w:val="FirstParagraph"/>
      </w:pPr>
      <w:r>
        <w:rPr>
          <w:b/>
          <w:bCs/>
        </w:rPr>
        <w:t>HELD IN RESERVE (2026-09-16). The current-condition walk folds this second running into the combined Session 7–8 evening — pass two of the pairs block, on this session’s passage (Mark 2:1–12). See “FotH Pilot Session 7-8 Combined Evening Run Sheet”. This separate evening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docs/getting-started/week-08-proapt-2.md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Complete the second running of PROAPT — the full six-step walk-through led by a Companion-in-Formation with a fresh passage.</w:t>
      </w:r>
    </w:p>
    <w:p>
      <w:pPr>
        <w:pStyle w:val="BodyText"/>
      </w:pPr>
      <w:r>
        <w:rPr>
          <w:b/>
          <w:bCs/>
        </w:rPr>
        <w:t xml:space="preserve">Anchor.</w:t>
      </w:r>
      <w:r>
        <w:t xml:space="preserve"> </w:t>
      </w:r>
      <w:r>
        <w:t xml:space="preserve">Romans 10:17 (faith comes from hearing) and Mark 2:1–12 (the paralytic through the roof) as the worked example.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7:25-7:28</w:t>
            </w:r>
          </w:p>
        </w:tc>
        <w:tc>
          <w:tcPr/>
          <w:p>
            <w:pPr>
              <w:pStyle w:val="Compact"/>
            </w:pPr>
            <w:r>
              <w:t xml:space="preserve">Block 3: Why a second running</w:t>
            </w:r>
          </w:p>
        </w:tc>
        <w:tc>
          <w:tcPr/>
          <w:p>
            <w:pPr>
              <w:pStyle w:val="Compact"/>
            </w:pPr>
            <w:r>
              <w:t xml:space="preserve">Content presenter; container holder watching the room</w:t>
            </w:r>
          </w:p>
        </w:tc>
      </w:tr>
      <w:tr>
        <w:tc>
          <w:tcPr/>
          <w:p>
            <w:pPr>
              <w:pStyle w:val="Compact"/>
            </w:pPr>
            <w:r>
              <w:t xml:space="preserve">7:28-7:42</w:t>
            </w:r>
          </w:p>
        </w:tc>
        <w:tc>
          <w:tcPr/>
          <w:p>
            <w:pPr>
              <w:pStyle w:val="Compact"/>
            </w:pPr>
            <w:r>
              <w:t xml:space="preserve">Block 4: PROAPT walked together — Mark 2:1–12</w:t>
            </w:r>
          </w:p>
        </w:tc>
        <w:tc>
          <w:tcPr/>
          <w:p>
            <w:pPr>
              <w:pStyle w:val="Compact"/>
            </w:pPr>
            <w:r>
              <w:t xml:space="preserve">Content presenter; container holder watching the room</w:t>
            </w:r>
          </w:p>
        </w:tc>
      </w:tr>
      <w:tr>
        <w:tc>
          <w:tcPr/>
          <w:p>
            <w:pPr>
              <w:pStyle w:val="Compact"/>
            </w:pPr>
            <w:r>
              <w:t xml:space="preserve">7:42-7:43</w:t>
            </w:r>
          </w:p>
        </w:tc>
        <w:tc>
          <w:tcPr/>
          <w:p>
            <w:pPr>
              <w:pStyle w:val="Compact"/>
            </w:pPr>
            <w:r>
              <w:t xml:space="preserve">Block 5: Bridge to the pairs and pair structure</w:t>
            </w:r>
          </w:p>
        </w:tc>
        <w:tc>
          <w:tcPr/>
          <w:p>
            <w:pPr>
              <w:pStyle w:val="Compact"/>
            </w:pPr>
            <w:r>
              <w:t xml:space="preserve">Content presenter; container holder watching the room</w:t>
            </w:r>
          </w:p>
        </w:tc>
      </w:tr>
      <w:tr>
        <w:tc>
          <w:tcPr/>
          <w:p>
            <w:pPr>
              <w:pStyle w:val="Compact"/>
            </w:pPr>
            <w:r>
              <w:t xml:space="preserve">7:43-8:11</w:t>
            </w:r>
          </w:p>
        </w:tc>
        <w:tc>
          <w:tcPr/>
          <w:p>
            <w:pPr>
              <w:pStyle w:val="Compact"/>
            </w:pPr>
            <w:r>
              <w:t xml:space="preserve">Block 6: PROAPT in family pairs in pairs</w:t>
            </w:r>
          </w:p>
        </w:tc>
        <w:tc>
          <w:tcPr/>
          <w:p>
            <w:pPr>
              <w:pStyle w:val="Compact"/>
            </w:pPr>
            <w:r>
              <w:t xml:space="preserve">Content presenter; container holder watching the room</w:t>
            </w:r>
          </w:p>
        </w:tc>
      </w:tr>
      <w:tr>
        <w:tc>
          <w:tcPr/>
          <w:p>
            <w:pPr>
              <w:pStyle w:val="Compact"/>
            </w:pPr>
            <w:r>
              <w:t xml:space="preserve">8:11-8:17</w:t>
            </w:r>
          </w:p>
        </w:tc>
        <w:tc>
          <w:tcPr/>
          <w:p>
            <w:pPr>
              <w:pStyle w:val="Compact"/>
            </w:pPr>
            <w:r>
              <w:t xml:space="preserve">Block 7: Tell step — sharing in the pair</w:t>
            </w:r>
          </w:p>
        </w:tc>
        <w:tc>
          <w:tcPr/>
          <w:p>
            <w:pPr>
              <w:pStyle w:val="Compact"/>
            </w:pPr>
            <w:r>
              <w:t xml:space="preserve">Content presenter; container holder watching the room</w:t>
            </w:r>
          </w:p>
        </w:tc>
      </w:tr>
      <w:tr>
        <w:tc>
          <w:tcPr/>
          <w:p>
            <w:pPr>
              <w:pStyle w:val="Compact"/>
            </w:pPr>
            <w:r>
              <w:t xml:space="preserve">8:17-8:20</w:t>
            </w:r>
          </w:p>
        </w:tc>
        <w:tc>
          <w:tcPr/>
          <w:p>
            <w:pPr>
              <w:pStyle w:val="Compact"/>
            </w:pPr>
            <w:r>
              <w:t xml:space="preserve">Block 8: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8-two-weeks"/>
    <w:p>
      <w:pPr>
        <w:pStyle w:val="Heading2"/>
      </w:pPr>
      <w:r>
        <w:t xml:space="preserve">The homework handout (Session 8, two weeks)</w:t>
      </w:r>
    </w:p>
    <w:p>
      <w:pPr>
        <w:pStyle w:val="Compact"/>
        <w:numPr>
          <w:ilvl w:val="0"/>
          <w:numId w:val="1001"/>
        </w:numPr>
      </w:pPr>
      <w:r>
        <w:rPr>
          <w:b/>
          <w:bCs/>
        </w:rPr>
        <w:t>The homework practice, week one.</w:t>
      </w:r>
      <w:r>
        <w:t xml:space="preserve"> </w:t>
      </w:r>
      <w:r>
        <w:t xml:space="preserve">Daily PROAPT continues (the journal Week 7–8 pages).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8 stands in the third box — Connect with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