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8A5A1B"/>
          <w:sz w:val="34"/>
          <w:szCs w:val="34"/>
        </w:rPr>
        <w:t xml:space="preserve">FELLOWSHIP OF THE HEART</w:t>
      </w:r>
    </w:p>
    <w:p>
      <w:pPr>
        <w:spacing w:after="40"/>
        <w:jc w:val="center"/>
      </w:pPr>
      <w:r>
        <w:rPr>
          <w:rFonts w:ascii="Georgia" w:cs="Georgia" w:eastAsia="Georgia" w:hAnsi="Georgia"/>
          <w:i/>
          <w:iCs/>
          <w:sz w:val="22"/>
          <w:szCs w:val="22"/>
        </w:rPr>
        <w:t xml:space="preserve">for Teens and Their Parents</w:t>
      </w:r>
    </w:p>
    <w:p>
      <w:pPr>
        <w:spacing w:after="200"/>
        <w:jc w:val="center"/>
      </w:pPr>
      <w:r>
        <w:rPr>
          <w:rFonts w:ascii="Georgia" w:cs="Georgia" w:eastAsia="Georgia" w:hAnsi="Georgia"/>
          <w:sz w:val="22"/>
          <w:szCs w:val="22"/>
        </w:rPr>
        <w:t xml:space="preserve">Getting Started series  ·  The Four Connects</w:t>
      </w:r>
    </w:p>
    <w:p>
      <w:pPr>
        <w:spacing w:after="40"/>
        <w:jc w:val="center"/>
      </w:pPr>
      <w:r>
        <w:rPr>
          <w:rFonts w:ascii="Georgia" w:cs="Georgia" w:eastAsia="Georgia" w:hAnsi="Georgia"/>
          <w:b/>
          <w:bCs/>
          <w:sz w:val="30"/>
          <w:szCs w:val="30"/>
        </w:rPr>
        <w:t xml:space="preserve">The Companion-in-Formation Track</w:t>
      </w:r>
    </w:p>
    <w:p>
      <w:pPr>
        <w:spacing w:after="160"/>
        <w:jc w:val="center"/>
      </w:pPr>
      <w:r>
        <w:rPr>
          <w:rFonts w:ascii="Georgia" w:cs="Georgia" w:eastAsia="Georgia" w:hAnsi="Georgia"/>
          <w:i/>
          <w:iCs/>
          <w:sz w:val="22"/>
          <w:szCs w:val="22"/>
        </w:rPr>
        <w:t xml:space="preserve">Forming Teens to Lead — Formation Companion, Level One (FC1)</w:t>
      </w:r>
    </w:p>
    <w:p>
      <w:pPr>
        <w:spacing w:after="20"/>
        <w:jc w:val="center"/>
      </w:pPr>
      <w:r>
        <w:rPr>
          <w:rFonts w:ascii="Georgia" w:cs="Georgia" w:eastAsia="Georgia" w:hAnsi="Georgia"/>
          <w:sz w:val="20"/>
          <w:szCs w:val="20"/>
        </w:rPr>
        <w:t xml:space="preserve">Pilot edition — draft section for the Four Connects Handbook</w:t>
      </w:r>
    </w:p>
    <w:p>
      <w:pPr>
        <w:spacing w:after="200"/>
        <w:jc w:val="center"/>
      </w:pPr>
      <w:r>
        <w:rPr>
          <w:rFonts w:ascii="Georgia" w:cs="Georgia" w:eastAsia="Georgia" w:hAnsi="Georgia"/>
          <w:sz w:val="20"/>
          <w:szCs w:val="20"/>
        </w:rPr>
        <w:t xml:space="preserve">John G. Tittle  ·  drafted with the team, July 2026</w:t>
      </w:r>
    </w:p>
    <w:p>
      <w:pPr>
        <w:pBdr>
          <w:bottom w:val="single" w:color="C9B892" w:sz="6" w:space="4"/>
        </w:pBdr>
        <w:spacing w:after="160" w:before="60"/>
      </w:pPr>
      <w:r>
        <w:rPr>
          <w:rFonts w:ascii="Georgia" w:cs="Georgia" w:eastAsia="Georgia" w:hAnsi="Georgia"/>
        </w:rPr>
        <w:t xml:space="preserve"/>
      </w:r>
    </w:p>
    <w:p>
      <w:pPr>
        <w:pStyle w:val="Heading1"/>
        <w:spacing w:after="150" w:before="320"/>
      </w:pPr>
      <w:r>
        <w:rPr>
          <w:rFonts w:ascii="Georgia" w:cs="Georgia" w:eastAsia="Georgia" w:hAnsi="Georgia"/>
          <w:b/>
          <w:bCs/>
          <w:color w:val="8A5A1B"/>
        </w:rPr>
        <w:t xml:space="preserve">A word before this section</w:t>
      </w:r>
    </w:p>
    <w:p>
      <w:pPr>
        <w:spacing w:after="120" w:line="264"/>
      </w:pPr>
      <w:r>
        <w:rPr>
          <w:rFonts w:ascii="Georgia" w:cs="Georgia" w:eastAsia="Georgia" w:hAnsi="Georgia"/>
        </w:rPr>
        <w:t xml:space="preserve">When we ran the Getting Started pilot, something happened that I did not fully design and did not expect. Once a teen had seen a process run — the opening container, the Garden, a PROAPT walk-through — and had the protocol in their hand, they could lead it. Not deeply, and not as a seasoned Companion, but with real and visible confidence. And when a teenager stood up and led their peers, the rest of the room leaned in like nothing else in the ten weeks had made them lean in.</w:t>
      </w:r>
    </w:p>
    <w:p>
      <w:pPr>
        <w:spacing w:after="120" w:line="264"/>
      </w:pPr>
      <w:r>
        <w:rPr>
          <w:rFonts w:ascii="Georgia" w:cs="Georgia" w:eastAsia="Georgia" w:hAnsi="Georgia"/>
        </w:rPr>
        <w:t xml:space="preserve">This section builds on purpose what the pilot showed us by accident. It describes a track, running alongside the Getting Started series, that forms willing senior teens to the first stable level of Formation Companion — what we call FC1 — and points them, over the next few years, toward the day some of them will run this whole journey themselves, in a dorm room or a living room, with no adult in the room at all.</w:t>
      </w:r>
    </w:p>
    <w:p>
      <w:pPr>
        <w:spacing w:after="120" w:line="264"/>
      </w:pPr>
      <w:r>
        <w:rPr>
          <w:rFonts w:ascii="Georgia" w:cs="Georgia" w:eastAsia="Georgia" w:hAnsi="Georgia"/>
        </w:rPr>
        <w:t xml:space="preserve">Two things govern everything here. The first is that FC1 is a real and honorable place to stand, not a consolation prize on the way to something else. The second is that a teen leader never carries what only an adult should carry. Hold both, and this works. Lose either, and it does not.</w:t>
      </w:r>
    </w:p>
    <w:p>
      <w:pPr>
        <w:spacing w:after="40" w:before="60"/>
      </w:pPr>
      <w:r>
        <w:rPr>
          <w:rFonts w:ascii="Georgia" w:cs="Georgia" w:eastAsia="Georgia" w:hAnsi="Georgia"/>
          <w:i/>
          <w:iCs/>
        </w:rPr>
        <w:t xml:space="preserve">— John (Granddaddy), on behalf of the team</w:t>
      </w:r>
    </w:p>
    <w:p>
      <w:pPr>
        <w:pStyle w:val="Heading1"/>
        <w:spacing w:after="150" w:before="320"/>
      </w:pPr>
      <w:r>
        <w:rPr>
          <w:rFonts w:ascii="Georgia" w:cs="Georgia" w:eastAsia="Georgia" w:hAnsi="Georgia"/>
          <w:b/>
          <w:bCs/>
          <w:color w:val="8A5A1B"/>
        </w:rPr>
        <w:t xml:space="preserve">1. What FC1 is — and what it is not</w:t>
      </w:r>
    </w:p>
    <w:p>
      <w:pPr>
        <w:spacing w:after="120" w:line="264"/>
      </w:pPr>
      <w:r>
        <w:rPr>
          <w:rFonts w:ascii="Georgia" w:cs="Georgia" w:eastAsia="Georgia" w:hAnsi="Georgia"/>
        </w:rPr>
        <w:t xml:space="preserve">FC1 is the first stable level of Formation Companion formation. It is deliberately modest, and it is complete in itself. A teen at FC1 can:</w:t>
      </w:r>
    </w:p>
    <w:p>
      <w:pPr>
        <w:pStyle w:val="ListParagraph"/>
        <w:numPr>
          <w:ilvl w:val="0"/>
          <w:numId w:val="2"/>
        </w:numPr>
        <w:spacing w:after="90" w:line="264"/>
      </w:pPr>
      <w:r>
        <w:rPr>
          <w:rFonts w:ascii="Georgia" w:cs="Georgia" w:eastAsia="Georgia" w:hAnsi="Georgia"/>
        </w:rPr>
        <w:t xml:space="preserve">Establish and hold the four container conditions — Safe, Present, Clear, Intentional — from memory, under mild pressure, without reading a script.</w:t>
      </w:r>
    </w:p>
    <w:p>
      <w:pPr>
        <w:pStyle w:val="ListParagraph"/>
        <w:numPr>
          <w:ilvl w:val="0"/>
          <w:numId w:val="2"/>
        </w:numPr>
        <w:spacing w:after="90" w:line="264"/>
      </w:pPr>
      <w:r>
        <w:rPr>
          <w:rFonts w:ascii="Georgia" w:cs="Georgia" w:eastAsia="Georgia" w:hAnsi="Georgia"/>
        </w:rPr>
        <w:t xml:space="preserve">Lead the simple, scripted processes of the series: the opening and closing container, the PROAPT walk-through, and the guided Garden of Your Heart walk-through.</w:t>
      </w:r>
    </w:p>
    <w:p>
      <w:pPr>
        <w:pStyle w:val="ListParagraph"/>
        <w:numPr>
          <w:ilvl w:val="0"/>
          <w:numId w:val="2"/>
        </w:numPr>
        <w:spacing w:after="90" w:line="264"/>
      </w:pPr>
      <w:r>
        <w:rPr>
          <w:rFonts w:ascii="Georgia" w:cs="Georgia" w:eastAsia="Georgia" w:hAnsi="Georgia"/>
        </w:rPr>
        <w:t xml:space="preserve">Speak a specific, witnessed blessing over another person.</w:t>
      </w:r>
    </w:p>
    <w:p>
      <w:pPr>
        <w:pStyle w:val="ListParagraph"/>
        <w:numPr>
          <w:ilvl w:val="0"/>
          <w:numId w:val="2"/>
        </w:numPr>
        <w:spacing w:after="90" w:line="264"/>
      </w:pPr>
      <w:r>
        <w:rPr>
          <w:rFonts w:ascii="Georgia" w:cs="Georgia" w:eastAsia="Georgia" w:hAnsi="Georgia"/>
        </w:rPr>
        <w:t xml:space="preserve">Know the edge of FC1 — what they can hold, and what they must hand to an adult — and do the handing without hesitation or heroics.</w:t>
      </w:r>
    </w:p>
    <w:p>
      <w:pPr>
        <w:pStyle w:val="ListParagraph"/>
        <w:numPr>
          <w:ilvl w:val="0"/>
          <w:numId w:val="2"/>
        </w:numPr>
        <w:spacing w:after="90" w:line="264"/>
      </w:pPr>
      <w:r>
        <w:rPr>
          <w:rFonts w:ascii="Georgia" w:cs="Georgia" w:eastAsia="Georgia" w:hAnsi="Georgia"/>
        </w:rPr>
        <w:t xml:space="preserve">Do their own four-Connects work, and name where they are in it. You cannot lead someone where you have not been.</w:t>
      </w:r>
    </w:p>
    <w:p>
      <w:pPr>
        <w:spacing w:after="120" w:line="264"/>
      </w:pPr>
      <w:r>
        <w:rPr>
          <w:rFonts w:ascii="Georgia" w:cs="Georgia" w:eastAsia="Georgia" w:hAnsi="Georgia"/>
        </w:rPr>
        <w:t xml:space="preserve">FC1 does not include the care that belongs to disclosure — crisis, the depths of confession, wound work. That is a later level, and in this pilot it is always held by an adult with clinical or pastoral backup. A teen who stays at FC1 for the rest of their life and leads a faithful group has arrived, not stalled.</w:t>
      </w:r>
    </w:p>
    <w:p>
      <w:pPr>
        <w:pStyle w:val="Heading1"/>
        <w:spacing w:after="150" w:before="320"/>
      </w:pPr>
      <w:r>
        <w:rPr>
          <w:rFonts w:ascii="Georgia" w:cs="Georgia" w:eastAsia="Georgia" w:hAnsi="Georgia"/>
          <w:b/>
          <w:bCs/>
          <w:color w:val="8A5A1B"/>
        </w:rPr>
        <w:t xml:space="preserve">2. Who leads what — the bright line</w:t>
      </w:r>
    </w:p>
    <w:p>
      <w:pPr>
        <w:spacing w:after="120" w:line="264"/>
      </w:pPr>
      <w:r>
        <w:rPr>
          <w:rFonts w:ascii="Georgia" w:cs="Georgia" w:eastAsia="Georgia" w:hAnsi="Georgia"/>
        </w:rPr>
        <w:t xml:space="preserve">There are two different things happening in any session, and only one of them is a teen’s to lead.</w:t>
      </w:r>
    </w:p>
    <w:p>
      <w:pPr>
        <w:spacing w:after="120" w:line="264"/>
      </w:pPr>
      <w:r>
        <w:rPr>
          <w:rFonts w:ascii="Georgia" w:cs="Georgia" w:eastAsia="Georgia" w:hAnsi="Georgia"/>
          <w:b/>
          <w:bCs/>
        </w:rPr>
        <w:t xml:space="preserve">Process leadership</w:t>
      </w:r>
      <w:r>
        <w:rPr>
          <w:rFonts w:ascii="Georgia" w:cs="Georgia" w:eastAsia="Georgia" w:hAnsi="Georgia"/>
        </w:rPr>
        <w:t xml:space="preserve"> is running a scripted, repeatable shape: the container, a teaching frame, a practice like PROAPT. Low disclosure risk. A teen can lead it once they have seen it a few times.</w:t>
      </w:r>
    </w:p>
    <w:p>
      <w:pPr>
        <w:spacing w:after="120" w:line="264"/>
      </w:pPr>
      <w:r>
        <w:rPr>
          <w:rFonts w:ascii="Georgia" w:cs="Georgia" w:eastAsia="Georgia" w:hAnsi="Georgia"/>
          <w:b/>
          <w:bCs/>
        </w:rPr>
        <w:t xml:space="preserve">Care leadership</w:t>
      </w:r>
      <w:r>
        <w:rPr>
          <w:rFonts w:ascii="Georgia" w:cs="Georgia" w:eastAsia="Georgia" w:hAnsi="Georgia"/>
        </w:rPr>
        <w:t xml:space="preserve"> is holding the moment when someone’s interior life opens — confession, the Garden debrief, a doubt that turns out to be a wound, and anything that could surface thoughts of self-harm, abuse, or crisis. This carries a legal duty and the two-adult rule, and it is never a teen’s to hold.</w:t>
      </w:r>
    </w:p>
    <w:p>
      <w:pPr>
        <w:spacing w:after="120" w:line="264"/>
      </w:pPr>
      <w:r>
        <w:rPr>
          <w:rFonts w:ascii="Georgia" w:cs="Georgia" w:eastAsia="Georgia" w:hAnsi="Georgia"/>
          <w:b/>
          <w:bCs/>
        </w:rPr>
        <w:t xml:space="preserve">The rule of thumb: </w:t>
      </w:r>
      <w:r>
        <w:rPr>
          <w:rFonts w:ascii="Georgia" w:cs="Georgia" w:eastAsia="Georgia" w:hAnsi="Georgia"/>
        </w:rPr>
        <w:t xml:space="preserve">a teen may lead the scaffolding and the teaching; an adult always holds the disclosure-bearing center.</w:t>
      </w:r>
    </w:p>
    <w:p>
      <w:pPr>
        <w:pStyle w:val="Heading1"/>
        <w:spacing w:after="150" w:before="320"/>
      </w:pPr>
      <w:r>
        <w:rPr>
          <w:rFonts w:ascii="Georgia" w:cs="Georgia" w:eastAsia="Georgia" w:hAnsi="Georgia"/>
          <w:b/>
          <w:bCs/>
          <w:color w:val="8A5A1B"/>
        </w:rPr>
        <w:t xml:space="preserve">3. How a teen learns to lead inside the series — the second running</w:t>
      </w:r>
    </w:p>
    <w:p>
      <w:pPr>
        <w:spacing w:after="120" w:line="264"/>
      </w:pPr>
      <w:r>
        <w:rPr>
          <w:rFonts w:ascii="Georgia" w:cs="Georgia" w:eastAsia="Georgia" w:hAnsi="Georgia"/>
        </w:rPr>
        <w:t xml:space="preserve">The pilot revealed the mechanism, and it is beautifully simple. Most practice processes never get the whole group through in one session — storytelling, PROAPT in pairs, the Garden, even the container with a full circle all take more than one running to include everyone.</w:t>
      </w:r>
    </w:p>
    <w:p>
      <w:pPr>
        <w:spacing w:after="120" w:line="264"/>
      </w:pPr>
      <w:r>
        <w:rPr>
          <w:rFonts w:ascii="Georgia" w:cs="Georgia" w:eastAsia="Georgia" w:hAnsi="Georgia"/>
        </w:rPr>
        <w:t xml:space="preserve">So we run them twice. The first running is adult-led, and the teen is a participant in it — they receive it. On the second running, a senior leads it, protocol in hand, with an adult present. See one, do one, in the same series, in front of the cohort. This is also why the series grows from ten sessions to thirteen: the second runnings need room.</w:t>
      </w:r>
    </w:p>
    <w:p>
      <w:r>
        <w:br w:type="page"/>
      </w:r>
    </w:p>
    <w:p>
      <w:pPr>
        <w:pStyle w:val="Heading1"/>
        <w:spacing w:after="150" w:before="320"/>
      </w:pPr>
      <w:r>
        <w:rPr>
          <w:rFonts w:ascii="Georgia" w:cs="Georgia" w:eastAsia="Georgia" w:hAnsi="Georgia"/>
          <w:b/>
          <w:bCs/>
          <w:color w:val="8A5A1B"/>
        </w:rPr>
        <w:t xml:space="preserve">4. The thirteen-week session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1000"/>
        <w:gridCol w:w="1200"/>
        <w:gridCol w:w="2400"/>
        <w:gridCol w:w="2700"/>
      </w:tblGrid>
      <w:tr>
        <w:trPr>
          <w:tblHeader/>
        </w:trPr>
        <w:tc>
          <w:tcPr>
            <w:tcW w:type="dxa" w:w="560"/>
            <w:tcBorders>
              <w:top w:val="single" w:color="D8CBB2" w:sz="1"/>
              <w:left w:val="single" w:color="D8CBB2" w:sz="1"/>
              <w:bottom w:val="single" w:color="D8CBB2" w:sz="1"/>
              <w:right w:val="single" w:color="D8CBB2" w:sz="1"/>
            </w:tcBorders>
            <w:shd w:fill="EDE7D9"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Wk</w:t>
            </w:r>
          </w:p>
        </w:tc>
        <w:tc>
          <w:tcPr>
            <w:tcW w:type="dxa" w:w="1500"/>
            <w:tcBorders>
              <w:top w:val="single" w:color="D8CBB2" w:sz="1"/>
              <w:left w:val="single" w:color="D8CBB2" w:sz="1"/>
              <w:bottom w:val="single" w:color="D8CBB2" w:sz="1"/>
              <w:right w:val="single" w:color="D8CBB2" w:sz="1"/>
            </w:tcBorders>
            <w:shd w:fill="EDE7D9"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Session</w:t>
            </w:r>
          </w:p>
        </w:tc>
        <w:tc>
          <w:tcPr>
            <w:tcW w:type="dxa" w:w="1000"/>
            <w:tcBorders>
              <w:top w:val="single" w:color="D8CBB2" w:sz="1"/>
              <w:left w:val="single" w:color="D8CBB2" w:sz="1"/>
              <w:bottom w:val="single" w:color="D8CBB2" w:sz="1"/>
              <w:right w:val="single" w:color="D8CBB2" w:sz="1"/>
            </w:tcBorders>
            <w:shd w:fill="EDE7D9"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Connect</w:t>
            </w:r>
          </w:p>
        </w:tc>
        <w:tc>
          <w:tcPr>
            <w:tcW w:type="dxa" w:w="1200"/>
            <w:tcBorders>
              <w:top w:val="single" w:color="D8CBB2" w:sz="1"/>
              <w:left w:val="single" w:color="D8CBB2" w:sz="1"/>
              <w:bottom w:val="single" w:color="D8CBB2" w:sz="1"/>
              <w:right w:val="single" w:color="D8CBB2" w:sz="1"/>
            </w:tcBorders>
            <w:shd w:fill="EDE7D9"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Anchor scripture</w:t>
            </w:r>
          </w:p>
        </w:tc>
        <w:tc>
          <w:tcPr>
            <w:tcW w:type="dxa" w:w="2400"/>
            <w:tcBorders>
              <w:top w:val="single" w:color="D8CBB2" w:sz="1"/>
              <w:left w:val="single" w:color="D8CBB2" w:sz="1"/>
              <w:bottom w:val="single" w:color="D8CBB2" w:sz="1"/>
              <w:right w:val="single" w:color="D8CBB2" w:sz="1"/>
            </w:tcBorders>
            <w:shd w:fill="EDE7D9"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Practice / center</w:t>
            </w:r>
          </w:p>
        </w:tc>
        <w:tc>
          <w:tcPr>
            <w:tcW w:type="dxa" w:w="2700"/>
            <w:tcBorders>
              <w:top w:val="single" w:color="D8CBB2" w:sz="1"/>
              <w:left w:val="single" w:color="D8CBB2" w:sz="1"/>
              <w:bottom w:val="single" w:color="D8CBB2" w:sz="1"/>
              <w:right w:val="single" w:color="D8CBB2" w:sz="1"/>
            </w:tcBorders>
            <w:shd w:fill="EDE7D9"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Who leads</w:t>
            </w:r>
          </w:p>
        </w:tc>
      </w:tr>
      <w:tr>
        <w:tc>
          <w:tcPr>
            <w:tcW w:type="dxa" w:w="5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1</w:t>
            </w:r>
          </w:p>
        </w:tc>
        <w:tc>
          <w:tcPr>
            <w:tcW w:type="dxa" w:w="15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Welcome to the Journey</w:t>
            </w:r>
          </w:p>
        </w:tc>
        <w:tc>
          <w:tcPr>
            <w:tcW w:type="dxa" w:w="10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All four (intro)</w:t>
            </w:r>
          </w:p>
        </w:tc>
        <w:tc>
          <w:tcPr>
            <w:tcW w:type="dxa" w:w="12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John 10:10b</w:t>
            </w:r>
          </w:p>
        </w:tc>
        <w:tc>
          <w:tcPr>
            <w:tcW w:type="dxa" w:w="24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Container intro; “one true sentence”</w:t>
            </w:r>
          </w:p>
        </w:tc>
        <w:tc>
          <w:tcPr>
            <w:tcW w:type="dxa" w:w="27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Adult models — teens watch the container for the first time</w:t>
            </w:r>
          </w:p>
        </w:tc>
      </w:tr>
      <w:tr>
        <w:tc>
          <w:tcPr>
            <w:tcW w:type="dxa" w:w="5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2</w:t>
            </w:r>
          </w:p>
        </w:tc>
        <w:tc>
          <w:tcPr>
            <w:tcW w:type="dxa" w:w="15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The Soil of Your Heart</w:t>
            </w:r>
          </w:p>
        </w:tc>
        <w:tc>
          <w:tcPr>
            <w:tcW w:type="dxa" w:w="10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Self</w:t>
            </w:r>
          </w:p>
        </w:tc>
        <w:tc>
          <w:tcPr>
            <w:tcW w:type="dxa" w:w="12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Mark 4:1–20</w:t>
            </w:r>
          </w:p>
        </w:tc>
        <w:tc>
          <w:tcPr>
            <w:tcW w:type="dxa" w:w="24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Heart Soil diagnostic</w:t>
            </w:r>
          </w:p>
        </w:tc>
        <w:tc>
          <w:tcPr>
            <w:tcW w:type="dxa" w:w="27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Adult leads; teen assists (setup, scripture reading)</w:t>
            </w:r>
          </w:p>
        </w:tc>
      </w:tr>
      <w:tr>
        <w:tc>
          <w:tcPr>
            <w:tcW w:type="dxa" w:w="5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3</w:t>
            </w:r>
          </w:p>
        </w:tc>
        <w:tc>
          <w:tcPr>
            <w:tcW w:type="dxa" w:w="15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Telling Your Story I</w:t>
            </w:r>
          </w:p>
        </w:tc>
        <w:tc>
          <w:tcPr>
            <w:tcW w:type="dxa" w:w="10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Self</w:t>
            </w:r>
          </w:p>
        </w:tc>
        <w:tc>
          <w:tcPr>
            <w:tcW w:type="dxa" w:w="12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Ps. 139:23–24</w:t>
            </w:r>
          </w:p>
        </w:tc>
        <w:tc>
          <w:tcPr>
            <w:tcW w:type="dxa" w:w="24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Story — first batch tells; adult models listening + blessing</w:t>
            </w:r>
          </w:p>
        </w:tc>
        <w:tc>
          <w:tcPr>
            <w:tcW w:type="dxa" w:w="27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Adult-led; the seniors tell their own story here — they receive before they lead</w:t>
            </w:r>
          </w:p>
        </w:tc>
      </w:tr>
      <w:tr>
        <w:tc>
          <w:tcPr>
            <w:tcW w:type="dxa" w:w="5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4</w:t>
            </w:r>
          </w:p>
        </w:tc>
        <w:tc>
          <w:tcPr>
            <w:tcW w:type="dxa" w:w="15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Telling Your Story II</w:t>
            </w:r>
          </w:p>
        </w:tc>
        <w:tc>
          <w:tcPr>
            <w:tcW w:type="dxa" w:w="10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Self</w:t>
            </w:r>
          </w:p>
        </w:tc>
        <w:tc>
          <w:tcPr>
            <w:tcW w:type="dxa" w:w="12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Ps. 139:23–24</w:t>
            </w:r>
          </w:p>
        </w:tc>
        <w:tc>
          <w:tcPr>
            <w:tcW w:type="dxa" w:w="24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Story — rest of the group tells (second running)</w:t>
            </w:r>
          </w:p>
        </w:tc>
        <w:tc>
          <w:tcPr>
            <w:tcW w:type="dxa" w:w="27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Teen-led: container + story facilitation + blessing round. Adult holds any heavy disclosure</w:t>
            </w:r>
          </w:p>
        </w:tc>
      </w:tr>
      <w:tr>
        <w:tc>
          <w:tcPr>
            <w:tcW w:type="dxa" w:w="5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5</w:t>
            </w:r>
          </w:p>
        </w:tc>
        <w:tc>
          <w:tcPr>
            <w:tcW w:type="dxa" w:w="15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Knowing &amp; Being Known</w:t>
            </w:r>
          </w:p>
        </w:tc>
        <w:tc>
          <w:tcPr>
            <w:tcW w:type="dxa" w:w="10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Others</w:t>
            </w:r>
          </w:p>
        </w:tc>
        <w:tc>
          <w:tcPr>
            <w:tcW w:type="dxa" w:w="12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Eccl. 4:9–12</w:t>
            </w:r>
          </w:p>
        </w:tc>
        <w:tc>
          <w:tcPr>
            <w:tcW w:type="dxa" w:w="24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Container-conditions exercise</w:t>
            </w:r>
          </w:p>
        </w:tc>
        <w:tc>
          <w:tcPr>
            <w:tcW w:type="dxa" w:w="27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Teen leads the container open/close; center co-led (adult in room)</w:t>
            </w:r>
          </w:p>
        </w:tc>
      </w:tr>
      <w:tr>
        <w:tc>
          <w:tcPr>
            <w:tcW w:type="dxa" w:w="5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6</w:t>
            </w:r>
          </w:p>
        </w:tc>
        <w:tc>
          <w:tcPr>
            <w:tcW w:type="dxa" w:w="15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Safe and Brave Together</w:t>
            </w:r>
          </w:p>
        </w:tc>
        <w:tc>
          <w:tcPr>
            <w:tcW w:type="dxa" w:w="10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Others</w:t>
            </w:r>
          </w:p>
        </w:tc>
        <w:tc>
          <w:tcPr>
            <w:tcW w:type="dxa" w:w="12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James 5:16</w:t>
            </w:r>
          </w:p>
        </w:tc>
        <w:tc>
          <w:tcPr>
            <w:tcW w:type="dxa" w:w="24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Confession &amp; restoration</w:t>
            </w:r>
          </w:p>
        </w:tc>
        <w:tc>
          <w:tcPr>
            <w:tcW w:type="dxa" w:w="27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Adult-held center. Teen may lead the container scaffolding only</w:t>
            </w:r>
          </w:p>
        </w:tc>
      </w:tr>
      <w:tr>
        <w:tc>
          <w:tcPr>
            <w:tcW w:type="dxa" w:w="5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7</w:t>
            </w:r>
          </w:p>
        </w:tc>
        <w:tc>
          <w:tcPr>
            <w:tcW w:type="dxa" w:w="15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Hearing God / PROAPT I</w:t>
            </w:r>
          </w:p>
        </w:tc>
        <w:tc>
          <w:tcPr>
            <w:tcW w:type="dxa" w:w="10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God</w:t>
            </w:r>
          </w:p>
        </w:tc>
        <w:tc>
          <w:tcPr>
            <w:tcW w:type="dxa" w:w="12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Rom. 10:17</w:t>
            </w:r>
          </w:p>
        </w:tc>
        <w:tc>
          <w:tcPr>
            <w:tcW w:type="dxa" w:w="24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PROAPT — first walk-through, taught</w:t>
            </w:r>
          </w:p>
        </w:tc>
        <w:tc>
          <w:tcPr>
            <w:tcW w:type="dxa" w:w="27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Adult-led; the seniors receive the practice</w:t>
            </w:r>
          </w:p>
        </w:tc>
      </w:tr>
      <w:tr>
        <w:tc>
          <w:tcPr>
            <w:tcW w:type="dxa" w:w="5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8</w:t>
            </w:r>
          </w:p>
        </w:tc>
        <w:tc>
          <w:tcPr>
            <w:tcW w:type="dxa" w:w="15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Hearing God / PROAPT II</w:t>
            </w:r>
          </w:p>
        </w:tc>
        <w:tc>
          <w:tcPr>
            <w:tcW w:type="dxa" w:w="10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God</w:t>
            </w:r>
          </w:p>
        </w:tc>
        <w:tc>
          <w:tcPr>
            <w:tcW w:type="dxa" w:w="12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Rom. 10:17</w:t>
            </w:r>
          </w:p>
        </w:tc>
        <w:tc>
          <w:tcPr>
            <w:tcW w:type="dxa" w:w="24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PROAPT — second running, in pairs</w:t>
            </w:r>
          </w:p>
        </w:tc>
        <w:tc>
          <w:tcPr>
            <w:tcW w:type="dxa" w:w="27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Teen-led: the full PROAPT walk-through — the cleanest teen-led block</w:t>
            </w:r>
          </w:p>
        </w:tc>
      </w:tr>
      <w:tr>
        <w:tc>
          <w:tcPr>
            <w:tcW w:type="dxa" w:w="5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9</w:t>
            </w:r>
          </w:p>
        </w:tc>
        <w:tc>
          <w:tcPr>
            <w:tcW w:type="dxa" w:w="15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The Garden of Your Heart I</w:t>
            </w:r>
          </w:p>
        </w:tc>
        <w:tc>
          <w:tcPr>
            <w:tcW w:type="dxa" w:w="10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God</w:t>
            </w:r>
          </w:p>
        </w:tc>
        <w:tc>
          <w:tcPr>
            <w:tcW w:type="dxa" w:w="12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John 15:1–11</w:t>
            </w:r>
          </w:p>
        </w:tc>
        <w:tc>
          <w:tcPr>
            <w:tcW w:type="dxa" w:w="24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Garden — framing + first guided run</w:t>
            </w:r>
          </w:p>
        </w:tc>
        <w:tc>
          <w:tcPr>
            <w:tcW w:type="dxa" w:w="27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Adult-led; the seniors receive</w:t>
            </w:r>
          </w:p>
        </w:tc>
      </w:tr>
      <w:tr>
        <w:tc>
          <w:tcPr>
            <w:tcW w:type="dxa" w:w="5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10</w:t>
            </w:r>
          </w:p>
        </w:tc>
        <w:tc>
          <w:tcPr>
            <w:tcW w:type="dxa" w:w="15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The Garden of Your Heart II</w:t>
            </w:r>
          </w:p>
        </w:tc>
        <w:tc>
          <w:tcPr>
            <w:tcW w:type="dxa" w:w="10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God</w:t>
            </w:r>
          </w:p>
        </w:tc>
        <w:tc>
          <w:tcPr>
            <w:tcW w:type="dxa" w:w="12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John 15:1–11</w:t>
            </w:r>
          </w:p>
        </w:tc>
        <w:tc>
          <w:tcPr>
            <w:tcW w:type="dxa" w:w="24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Garden — second guided run</w:t>
            </w:r>
          </w:p>
        </w:tc>
        <w:tc>
          <w:tcPr>
            <w:tcW w:type="dxa" w:w="27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Teen leads the guided walk-through; adult holds the debrief and anything that surfaces</w:t>
            </w:r>
          </w:p>
        </w:tc>
      </w:tr>
      <w:tr>
        <w:tc>
          <w:tcPr>
            <w:tcW w:type="dxa" w:w="5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11</w:t>
            </w:r>
          </w:p>
        </w:tc>
        <w:tc>
          <w:tcPr>
            <w:tcW w:type="dxa" w:w="15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Any Doubts?</w:t>
            </w:r>
          </w:p>
        </w:tc>
        <w:tc>
          <w:tcPr>
            <w:tcW w:type="dxa" w:w="10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God</w:t>
            </w:r>
          </w:p>
        </w:tc>
        <w:tc>
          <w:tcPr>
            <w:tcW w:type="dxa" w:w="12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Mark 9:24</w:t>
            </w:r>
          </w:p>
        </w:tc>
        <w:tc>
          <w:tcPr>
            <w:tcW w:type="dxa" w:w="24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Naming private doubts</w:t>
            </w:r>
          </w:p>
        </w:tc>
        <w:tc>
          <w:tcPr>
            <w:tcW w:type="dxa" w:w="27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Adult-held center. Teen may lead the container scaffolding only</w:t>
            </w:r>
          </w:p>
        </w:tc>
      </w:tr>
      <w:tr>
        <w:tc>
          <w:tcPr>
            <w:tcW w:type="dxa" w:w="5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12</w:t>
            </w:r>
          </w:p>
        </w:tc>
        <w:tc>
          <w:tcPr>
            <w:tcW w:type="dxa" w:w="15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What Was Prepared for You</w:t>
            </w:r>
          </w:p>
        </w:tc>
        <w:tc>
          <w:tcPr>
            <w:tcW w:type="dxa" w:w="10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Mission</w:t>
            </w:r>
          </w:p>
        </w:tc>
        <w:tc>
          <w:tcPr>
            <w:tcW w:type="dxa" w:w="12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Eph. 2:10</w:t>
            </w:r>
          </w:p>
        </w:tc>
        <w:tc>
          <w:tcPr>
            <w:tcW w:type="dxa" w:w="24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Gifts + downhill mission</w:t>
            </w:r>
          </w:p>
        </w:tc>
        <w:tc>
          <w:tcPr>
            <w:tcW w:type="dxa" w:w="27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Teen co-leads. Name leading-as-mission here</w:t>
            </w:r>
          </w:p>
        </w:tc>
      </w:tr>
      <w:tr>
        <w:tc>
          <w:tcPr>
            <w:tcW w:type="dxa" w:w="5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13</w:t>
            </w:r>
          </w:p>
        </w:tc>
        <w:tc>
          <w:tcPr>
            <w:tcW w:type="dxa" w:w="15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Sending &amp; Blessing + FC1 commissioning</w:t>
            </w:r>
          </w:p>
        </w:tc>
        <w:tc>
          <w:tcPr>
            <w:tcW w:type="dxa" w:w="10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All four (integration)</w:t>
            </w:r>
          </w:p>
        </w:tc>
        <w:tc>
          <w:tcPr>
            <w:tcW w:type="dxa" w:w="12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Num. 6:24–26</w:t>
            </w:r>
          </w:p>
        </w:tc>
        <w:tc>
          <w:tcPr>
            <w:tcW w:type="dxa" w:w="24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Family commissioning; commission the seniors as FC1</w:t>
            </w:r>
          </w:p>
        </w:tc>
        <w:tc>
          <w:tcPr>
            <w:tcW w:type="dxa" w:w="27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8"/>
                <w:szCs w:val="18"/>
              </w:rPr>
              <w:t xml:space="preserve">Teens co-lead pieces; the Companions-in-Formation are commissioned as FC1</w:t>
            </w:r>
          </w:p>
        </w:tc>
      </w:tr>
    </w:tbl>
    <w:p>
      <w:pPr>
        <w:spacing w:after="120" w:before="120"/>
      </w:pPr>
      <w:r>
        <w:rPr>
          <w:rFonts w:ascii="Georgia" w:cs="Georgia" w:eastAsia="Georgia" w:hAnsi="Georgia"/>
        </w:rPr>
        <w:t xml:space="preserve">The three added sessions — Telling Your Story II (Week 4), PROAPT II (Week 8), and Garden of Your Heart II (Week 10) — teach nothing new. They complete a process the cohort has already begun, and they are the marquee slots a senior leads. The four-Connect sequence and its dependencies are preserved: Self runs through Weeks 2–4, Others through 5–6, God through 7–11, Mission at 12, and integration at 13. Heart Soil (Week 2) and the container-conditions exercise (Week 5) finish in one session and do not get a second running.</w:t>
      </w:r>
    </w:p>
    <w:p>
      <w:pPr>
        <w:spacing w:after="120" w:line="264"/>
      </w:pPr>
      <w:r>
        <w:rPr>
          <w:rFonts w:ascii="Georgia" w:cs="Georgia" w:eastAsia="Georgia" w:hAnsi="Georgia"/>
          <w:b/>
          <w:bCs/>
        </w:rPr>
        <w:t xml:space="preserve">The container repeat-runs every week for free. </w:t>
      </w:r>
      <w:r>
        <w:rPr>
          <w:rFonts w:ascii="Georgia" w:cs="Georgia" w:eastAsia="Georgia" w:hAnsi="Georgia"/>
        </w:rPr>
        <w:t xml:space="preserve">From Week 5 on, a senior takes the opening or the closing each week — by then they have watched it four or five times. This steady, low-risk repetition is what builds container fluency, which is the spine of FC1.</w:t>
      </w:r>
    </w:p>
    <w:p>
      <w:pPr>
        <w:pStyle w:val="Heading1"/>
        <w:spacing w:after="150" w:before="320"/>
      </w:pPr>
      <w:r>
        <w:rPr>
          <w:rFonts w:ascii="Georgia" w:cs="Georgia" w:eastAsia="Georgia" w:hAnsi="Georgia"/>
          <w:b/>
          <w:bCs/>
          <w:color w:val="8A5A1B"/>
        </w:rPr>
        <w:t xml:space="preserve">5. The Companion-in-Formation — the role</w:t>
      </w:r>
    </w:p>
    <w:p>
      <w:pPr>
        <w:spacing w:after="120" w:line="264"/>
      </w:pPr>
      <w:r>
        <w:rPr>
          <w:rFonts w:ascii="Georgia" w:cs="Georgia" w:eastAsia="Georgia" w:hAnsi="Georgia"/>
        </w:rPr>
        <w:t xml:space="preserve">A Companion-in-Formation is a willing senior teen (roughly ages 15–18) who co-leads the teen-leadable slots with an adult Companion in the room, and is being formed toward FC1.</w:t>
      </w:r>
    </w:p>
    <w:p>
      <w:pPr>
        <w:spacing w:after="120" w:line="264"/>
      </w:pPr>
      <w:r>
        <w:rPr>
          <w:rFonts w:ascii="Georgia" w:cs="Georgia" w:eastAsia="Georgia" w:hAnsi="Georgia"/>
          <w:b/>
          <w:bCs/>
        </w:rPr>
        <w:t xml:space="preserve">Selection. </w:t>
      </w:r>
      <w:r>
        <w:rPr>
          <w:rFonts w:ascii="Georgia" w:cs="Georgia" w:eastAsia="Georgia" w:hAnsi="Georgia"/>
        </w:rPr>
        <w:t xml:space="preserve">The discernment pair for each teen is that teen’s own parent and the Lead Companion. Both must agree the teen is ready. There is no cap on numbers — every willing senior whose parent and Lead Companion agree may join. Spread the runnings across the whole team so several peers lead, no one is overloaded, and the cohort sees more than one of its own step up.</w:t>
      </w:r>
    </w:p>
    <w:p>
      <w:pPr>
        <w:pStyle w:val="Heading1"/>
        <w:spacing w:after="150" w:before="320"/>
      </w:pPr>
      <w:r>
        <w:rPr>
          <w:rFonts w:ascii="Georgia" w:cs="Georgia" w:eastAsia="Georgia" w:hAnsi="Georgia"/>
          <w:b/>
          <w:bCs/>
          <w:color w:val="8A5A1B"/>
        </w:rPr>
        <w:t xml:space="preserve">6. The three rules that never bend</w:t>
      </w:r>
    </w:p>
    <w:p>
      <w:pPr>
        <w:spacing w:after="120" w:line="264"/>
      </w:pPr>
      <w:r>
        <w:rPr>
          <w:rFonts w:ascii="Georgia" w:cs="Georgia" w:eastAsia="Georgia" w:hAnsi="Georgia"/>
        </w:rPr>
        <w:t xml:space="preserve">Print these three on a card. They are the whole of the teen leader’s safety.</w:t>
      </w:r>
    </w:p>
    <w:p>
      <w:pPr>
        <w:pStyle w:val="ListParagraph"/>
        <w:numPr>
          <w:ilvl w:val="0"/>
          <w:numId w:val="3"/>
        </w:numPr>
        <w:spacing w:after="90" w:line="264"/>
      </w:pPr>
      <w:r>
        <w:rPr>
          <w:rFonts w:ascii="Georgia" w:cs="Georgia" w:eastAsia="Georgia" w:hAnsi="Georgia"/>
          <w:b/>
          <w:bCs/>
        </w:rPr>
        <w:t xml:space="preserve">A Companion-in-Formation never counts as one of the two adults. </w:t>
      </w:r>
      <w:r>
        <w:rPr>
          <w:rFonts w:ascii="Georgia" w:cs="Georgia" w:eastAsia="Georgia" w:hAnsi="Georgia"/>
        </w:rPr>
        <w:t xml:space="preserve">The supervision rule is unchanged. “Co-lead” means an adult Companion in the room — not nearby, in the room.</w:t>
      </w:r>
    </w:p>
    <w:p>
      <w:pPr>
        <w:pStyle w:val="ListParagraph"/>
        <w:numPr>
          <w:ilvl w:val="0"/>
          <w:numId w:val="3"/>
        </w:numPr>
        <w:spacing w:after="90" w:line="264"/>
      </w:pPr>
      <w:r>
        <w:rPr>
          <w:rFonts w:ascii="Georgia" w:cs="Georgia" w:eastAsia="Georgia" w:hAnsi="Georgia"/>
          <w:b/>
          <w:bCs/>
        </w:rPr>
        <w:t xml:space="preserve">A Companion-in-Formation never takes a disclosure. </w:t>
      </w:r>
      <w:r>
        <w:rPr>
          <w:rFonts w:ascii="Georgia" w:cs="Georgia" w:eastAsia="Georgia" w:hAnsi="Georgia"/>
        </w:rPr>
        <w:t xml:space="preserve">If something heavy surfaces while they are leading, their only job is to hand it to the adult immediately. They are not a junior counselor.</w:t>
      </w:r>
    </w:p>
    <w:p>
      <w:pPr>
        <w:pStyle w:val="ListParagraph"/>
        <w:numPr>
          <w:ilvl w:val="0"/>
          <w:numId w:val="3"/>
        </w:numPr>
        <w:spacing w:after="90" w:line="264"/>
      </w:pPr>
      <w:r>
        <w:rPr>
          <w:rFonts w:ascii="Georgia" w:cs="Georgia" w:eastAsia="Georgia" w:hAnsi="Georgia"/>
          <w:b/>
          <w:bCs/>
        </w:rPr>
        <w:t xml:space="preserve">Lead only a block you have first received. </w:t>
      </w:r>
      <w:r>
        <w:rPr>
          <w:rFonts w:ascii="Georgia" w:cs="Georgia" w:eastAsia="Georgia" w:hAnsi="Georgia"/>
        </w:rPr>
        <w:t xml:space="preserve">See it, then lead it. Never lead a process you have not first experienced as a participant.</w:t>
      </w:r>
    </w:p>
    <w:p>
      <w:pPr>
        <w:pStyle w:val="Heading1"/>
        <w:spacing w:after="150" w:before="320"/>
      </w:pPr>
      <w:r>
        <w:rPr>
          <w:rFonts w:ascii="Georgia" w:cs="Georgia" w:eastAsia="Georgia" w:hAnsi="Georgia"/>
          <w:b/>
          <w:bCs/>
          <w:color w:val="8A5A1B"/>
        </w:rPr>
        <w:t xml:space="preserve">7. The Leader Feedback Round</w:t>
      </w:r>
    </w:p>
    <w:p>
      <w:pPr>
        <w:spacing w:after="120" w:line="264"/>
      </w:pPr>
      <w:r>
        <w:rPr>
          <w:rFonts w:ascii="Georgia" w:cs="Georgia" w:eastAsia="Georgia" w:hAnsi="Georgia"/>
        </w:rPr>
        <w:t xml:space="preserve">After a Companion-in-Formation leads, they receive a short, structured feedback round. It runs at the close of the session, right after the teen has led, while the cohort is still present. The order is fixed — affirmation first, growth second, and the group only by the leader’s own consent.</w:t>
      </w:r>
    </w:p>
    <w:p>
      <w:pPr>
        <w:pStyle w:val="ListParagraph"/>
        <w:numPr>
          <w:ilvl w:val="0"/>
          <w:numId w:val="4"/>
        </w:numPr>
        <w:spacing w:after="90" w:line="264"/>
      </w:pPr>
      <w:r>
        <w:rPr>
          <w:rFonts w:ascii="Georgia" w:cs="Georgia" w:eastAsia="Georgia" w:hAnsi="Georgia"/>
        </w:rPr>
        <w:t xml:space="preserve">The team names what the teen did well and would want to see again next time.</w:t>
      </w:r>
    </w:p>
    <w:p>
      <w:pPr>
        <w:pStyle w:val="ListParagraph"/>
        <w:numPr>
          <w:ilvl w:val="0"/>
          <w:numId w:val="4"/>
        </w:numPr>
        <w:spacing w:after="90" w:line="264"/>
      </w:pPr>
      <w:r>
        <w:rPr>
          <w:rFonts w:ascii="Georgia" w:cs="Georgia" w:eastAsia="Georgia" w:hAnsi="Georgia"/>
        </w:rPr>
        <w:t xml:space="preserve">The team names one thing — one or two, not a list — to try differently next time.</w:t>
      </w:r>
    </w:p>
    <w:p>
      <w:pPr>
        <w:pStyle w:val="ListParagraph"/>
        <w:numPr>
          <w:ilvl w:val="0"/>
          <w:numId w:val="4"/>
        </w:numPr>
        <w:spacing w:after="90" w:line="264"/>
      </w:pPr>
      <w:r>
        <w:rPr>
          <w:rFonts w:ascii="Georgia" w:cs="Georgia" w:eastAsia="Georgia" w:hAnsi="Georgia"/>
        </w:rPr>
        <w:t xml:space="preserve">Ask the leader: “Would you like feedback from the group too?” The teen decides. If they say no, the round ends here. No pressure, no exposure.</w:t>
      </w:r>
    </w:p>
    <w:p>
      <w:pPr>
        <w:pStyle w:val="ListParagraph"/>
        <w:numPr>
          <w:ilvl w:val="0"/>
          <w:numId w:val="4"/>
        </w:numPr>
        <w:spacing w:after="90" w:line="264"/>
      </w:pPr>
      <w:r>
        <w:rPr>
          <w:rFonts w:ascii="Georgia" w:cs="Georgia" w:eastAsia="Georgia" w:hAnsi="Georgia"/>
        </w:rPr>
        <w:t xml:space="preserve">If the teen says yes, ask the group — popcorn-style, so only those with something to say speak: “What worked well for you? What is one suggestion for them to consider next time?”</w:t>
      </w:r>
    </w:p>
    <w:p>
      <w:pPr>
        <w:spacing w:after="120" w:line="264"/>
      </w:pPr>
      <w:r>
        <w:rPr>
          <w:rFonts w:ascii="Georgia" w:cs="Georgia" w:eastAsia="Georgia" w:hAnsi="Georgia"/>
        </w:rPr>
        <w:t xml:space="preserve">The design is the point. Strengths before growth keeps it safe. The leader holds the consent for group feedback, so they keep their agency. Popcorn removes the pressure of a forced round. And “for you” language keeps the group reflecting on their own experience, not grading a friend. This is the loop that turned seeing-it into leading-it in the pilot.</w:t>
      </w:r>
    </w:p>
    <w:p>
      <w:r>
        <w:br w:type="page"/>
      </w:r>
    </w:p>
    <w:p>
      <w:pPr>
        <w:pStyle w:val="Heading1"/>
        <w:spacing w:after="150" w:before="320"/>
      </w:pPr>
      <w:r>
        <w:rPr>
          <w:rFonts w:ascii="Georgia" w:cs="Georgia" w:eastAsia="Georgia" w:hAnsi="Georgia"/>
          <w:b/>
          <w:bCs/>
          <w:color w:val="8A5A1B"/>
        </w:rPr>
        <w:t xml:space="preserve">8. What we are really forming for — the dorm horizon</w:t>
      </w:r>
    </w:p>
    <w:p>
      <w:pPr>
        <w:spacing w:after="120" w:line="264"/>
      </w:pPr>
      <w:r>
        <w:rPr>
          <w:rFonts w:ascii="Georgia" w:cs="Georgia" w:eastAsia="Georgia" w:hAnsi="Georgia"/>
        </w:rPr>
        <w:t xml:space="preserve">FC1 is the floor, and it forms in a single cycle. The longer horizon is a young adult who can run the entire Getting Started journey on their own — in a college dorm, a few years from now. That day clears our hardest problem, because a nineteen- or twenty-year-old leading their peers is an adult leading adults, and the whole question of minors leading minors falls away. But it removes the safety net that CCA provides: no two adults, no clinical backup on call, no reporting chain. The leader is the front line, alone.</w:t>
      </w:r>
    </w:p>
    <w:p>
      <w:pPr>
        <w:spacing w:after="120" w:line="264"/>
      </w:pPr>
      <w:r>
        <w:rPr>
          <w:rFonts w:ascii="Georgia" w:cs="Georgia" w:eastAsia="Georgia" w:hAnsi="Georgia"/>
        </w:rPr>
        <w:t xml:space="preserve">So the readiness that matters most for the dorm is not whether they can run the exercises — they can. It is whether they have internalized the boundary and built their own net. The profile below names the eight competencies; the two marked essential are the ones that replace the adults in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300"/>
      </w:tblGrid>
      <w:tr>
        <w:trPr>
          <w:tblHeader/>
        </w:trPr>
        <w:tc>
          <w:tcPr>
            <w:tcW w:type="dxa" w:w="2300"/>
            <w:tcBorders>
              <w:top w:val="single" w:color="D8CBB2" w:sz="1"/>
              <w:left w:val="single" w:color="D8CBB2" w:sz="1"/>
              <w:bottom w:val="single" w:color="D8CBB2" w:sz="1"/>
              <w:right w:val="single" w:color="D8CBB2" w:sz="1"/>
            </w:tcBorders>
            <w:shd w:fill="EDE7D9"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Competency</w:t>
            </w:r>
          </w:p>
        </w:tc>
        <w:tc>
          <w:tcPr>
            <w:tcW w:type="dxa" w:w="4760"/>
            <w:tcBorders>
              <w:top w:val="single" w:color="D8CBB2" w:sz="1"/>
              <w:left w:val="single" w:color="D8CBB2" w:sz="1"/>
              <w:bottom w:val="single" w:color="D8CBB2" w:sz="1"/>
              <w:right w:val="single" w:color="D8CBB2" w:sz="1"/>
            </w:tcBorders>
            <w:shd w:fill="EDE7D9"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What “ready” looks like</w:t>
            </w:r>
          </w:p>
        </w:tc>
        <w:tc>
          <w:tcPr>
            <w:tcW w:type="dxa" w:w="2300"/>
            <w:tcBorders>
              <w:top w:val="single" w:color="D8CBB2" w:sz="1"/>
              <w:left w:val="single" w:color="D8CBB2" w:sz="1"/>
              <w:bottom w:val="single" w:color="D8CBB2" w:sz="1"/>
              <w:right w:val="single" w:color="D8CBB2" w:sz="1"/>
            </w:tcBorders>
            <w:shd w:fill="EDE7D9" w:val="clear"/>
            <w:tcMar>
              <w:top w:type="dxa" w:w="60"/>
              <w:left w:type="dxa" w:w="110"/>
              <w:bottom w:type="dxa" w:w="60"/>
              <w:right w:type="dxa" w:w="110"/>
            </w:tcMar>
            <w:vAlign w:val="center"/>
          </w:tcPr>
          <w:p>
            <w:pPr>
              <w:spacing w:after="0" w:line="240"/>
            </w:pPr>
            <w:r>
              <w:rPr>
                <w:rFonts w:ascii="Georgia" w:cs="Georgia" w:eastAsia="Georgia" w:hAnsi="Georgia"/>
                <w:b/>
                <w:bCs/>
                <w:sz w:val="18"/>
                <w:szCs w:val="18"/>
              </w:rPr>
              <w:t xml:space="preserve">Where it forms</w:t>
            </w:r>
          </w:p>
        </w:tc>
      </w:tr>
      <w:tr>
        <w:tc>
          <w:tcPr>
            <w:tcW w:type="dxa" w:w="23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Own formation is real and ongoing</w:t>
            </w:r>
          </w:p>
        </w:tc>
        <w:tc>
          <w:tcPr>
            <w:tcW w:type="dxa" w:w="47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Has walked the four Connects themselves and is still in a rhythm — not technique over an empty interior.</w:t>
            </w:r>
          </w:p>
        </w:tc>
        <w:tc>
          <w:tcPr>
            <w:tcW w:type="dxa" w:w="23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The arc, as a participant</w:t>
            </w:r>
          </w:p>
        </w:tc>
      </w:tr>
      <w:tr>
        <w:tc>
          <w:tcPr>
            <w:tcW w:type="dxa" w:w="23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Container fluency from memory</w:t>
            </w:r>
          </w:p>
        </w:tc>
        <w:tc>
          <w:tcPr>
            <w:tcW w:type="dxa" w:w="47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Opens and closes from memory, under pressure, no script; can re-establish the container when the room heats up.</w:t>
            </w:r>
          </w:p>
        </w:tc>
        <w:tc>
          <w:tcPr>
            <w:tcW w:type="dxa" w:w="23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In-cohort second-runnings + the Lab</w:t>
            </w:r>
          </w:p>
        </w:tc>
      </w:tr>
      <w:tr>
        <w:tc>
          <w:tcPr>
            <w:tcW w:type="dxa" w:w="23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The whole arc, with reps</w:t>
            </w:r>
          </w:p>
        </w:tc>
        <w:tc>
          <w:tcPr>
            <w:tcW w:type="dxa" w:w="47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Has led every leadable block several times, and understands why the sequence runs Self → Others → God → Mission.</w:t>
            </w:r>
          </w:p>
        </w:tc>
        <w:tc>
          <w:tcPr>
            <w:tcW w:type="dxa" w:w="23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Repeated cycles + the Lab</w:t>
            </w:r>
          </w:p>
        </w:tc>
      </w:tr>
      <w:tr>
        <w:tc>
          <w:tcPr>
            <w:tcW w:type="dxa" w:w="23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bCs/>
                <w:color w:val="8A5A1B"/>
                <w:sz w:val="19"/>
                <w:szCs w:val="19"/>
              </w:rPr>
              <w:t xml:space="preserve">Scope humility + the referral reflex  (ESSENTIAL)</w:t>
            </w:r>
          </w:p>
        </w:tc>
        <w:tc>
          <w:tcPr>
            <w:tcW w:type="dxa" w:w="47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Knows exactly what FC1 cannot hold and routes crisis instantly; carries a pre-filled referral map for wherever they are.</w:t>
            </w:r>
          </w:p>
        </w:tc>
        <w:tc>
          <w:tcPr>
            <w:tcW w:type="dxa" w:w="23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The Lab — the safety core</w:t>
            </w:r>
          </w:p>
        </w:tc>
      </w:tr>
      <w:tr>
        <w:tc>
          <w:tcPr>
            <w:tcW w:type="dxa" w:w="23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bCs/>
                <w:color w:val="8A5A1B"/>
                <w:sz w:val="19"/>
                <w:szCs w:val="19"/>
              </w:rPr>
              <w:t xml:space="preserve">A standing covering relationship  (ESSENTIAL)</w:t>
            </w:r>
          </w:p>
        </w:tc>
        <w:tc>
          <w:tcPr>
            <w:tcW w:type="dxa" w:w="47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Before they start, has set up an ongoing “who do I call when I’m over my head” person — the dorm’s substitute for an adult in the room.</w:t>
            </w:r>
          </w:p>
        </w:tc>
        <w:tc>
          <w:tcPr>
            <w:tcW w:type="dxa" w:w="23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Named at Sending; sustained across the arc</w:t>
            </w:r>
          </w:p>
        </w:tc>
      </w:tr>
      <w:tr>
        <w:tc>
          <w:tcPr>
            <w:tcW w:type="dxa" w:w="23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Adaptation judgment</w:t>
            </w:r>
          </w:p>
        </w:tc>
        <w:tc>
          <w:tcPr>
            <w:tcW w:type="dxa" w:w="47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Can flex the series to a peer-only setting (drop the parent / parallel-circle design; keep the Connect sequence and the container) without breaking it.</w:t>
            </w:r>
          </w:p>
        </w:tc>
        <w:tc>
          <w:tcPr>
            <w:tcW w:type="dxa" w:w="23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The Lab</w:t>
            </w:r>
          </w:p>
        </w:tc>
      </w:tr>
      <w:tr>
        <w:tc>
          <w:tcPr>
            <w:tcW w:type="dxa" w:w="23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The invite and gather skill</w:t>
            </w:r>
          </w:p>
        </w:tc>
        <w:tc>
          <w:tcPr>
            <w:tcW w:type="dxa" w:w="47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Can make the ask: gather a handful of peers, frame the covenant, set the container expectation.</w:t>
            </w:r>
          </w:p>
        </w:tc>
        <w:tc>
          <w:tcPr>
            <w:tcW w:type="dxa" w:w="23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Overlaps Inviting Others</w:t>
            </w:r>
          </w:p>
        </w:tc>
      </w:tr>
      <w:tr>
        <w:tc>
          <w:tcPr>
            <w:tcW w:type="dxa" w:w="23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Knowing what to hold back</w:t>
            </w:r>
          </w:p>
        </w:tc>
        <w:tc>
          <w:tcPr>
            <w:tcW w:type="dxa" w:w="47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Holds the “what we hold back” discipline with no supervisor watching.</w:t>
            </w:r>
          </w:p>
        </w:tc>
        <w:tc>
          <w:tcPr>
            <w:tcW w:type="dxa" w:w="23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The Lab + the handbook</w:t>
            </w:r>
          </w:p>
        </w:tc>
      </w:tr>
    </w:tbl>
    <w:p>
      <w:pPr>
        <w:spacing w:before="120"/>
      </w:pPr>
      <w:r>
        <w:rPr>
          <w:rFonts w:ascii="Georgia" w:cs="Georgia" w:eastAsia="Georgia" w:hAnsi="Georgia"/>
          <w:i/>
          <w:iCs/>
        </w:rPr>
        <w:t xml:space="preserve">Honest timeline: this is a one-to-two-year formation across the whole arc plus real reps, not a ten-week output. Getting Started starts FC1 and lights the fire; Going Out and Inviting Others, and the reps, complete the dorm-ready leader.</w:t>
      </w:r>
    </w:p>
    <w:p>
      <w:pPr>
        <w:pStyle w:val="Heading1"/>
        <w:spacing w:after="150" w:before="320"/>
      </w:pPr>
      <w:r>
        <w:rPr>
          <w:rFonts w:ascii="Georgia" w:cs="Georgia" w:eastAsia="Georgia" w:hAnsi="Georgia"/>
          <w:b/>
          <w:bCs/>
          <w:color w:val="8A5A1B"/>
        </w:rPr>
        <w:t xml:space="preserve">9. Consent and the legal gate</w:t>
      </w:r>
    </w:p>
    <w:p>
      <w:pPr>
        <w:spacing w:after="120" w:line="264"/>
      </w:pPr>
      <w:r>
        <w:rPr>
          <w:rFonts w:ascii="Georgia" w:cs="Georgia" w:eastAsia="Georgia" w:hAnsi="Georgia"/>
        </w:rPr>
        <w:t xml:space="preserve">Two things must be in place before this runs.</w:t>
      </w:r>
    </w:p>
    <w:p>
      <w:pPr>
        <w:spacing w:after="120" w:line="264"/>
      </w:pPr>
      <w:r>
        <w:rPr>
          <w:rFonts w:ascii="Georgia" w:cs="Georgia" w:eastAsia="Georgia" w:hAnsi="Georgia"/>
          <w:b/>
          <w:bCs/>
        </w:rPr>
        <w:t xml:space="preserve">Consent. </w:t>
      </w:r>
      <w:r>
        <w:rPr>
          <w:rFonts w:ascii="Georgia" w:cs="Georgia" w:eastAsia="Georgia" w:hAnsi="Georgia"/>
        </w:rPr>
        <w:t xml:space="preserve">A teen leading their peers is a different thing from a teen participating, and it needs its own parental consent, added to the series consent packet.</w:t>
      </w:r>
    </w:p>
    <w:p>
      <w:pPr>
        <w:spacing w:after="120" w:line="264"/>
      </w:pPr>
      <w:r>
        <w:rPr>
          <w:rFonts w:ascii="Georgia" w:cs="Georgia" w:eastAsia="Georgia" w:hAnsi="Georgia"/>
          <w:b/>
          <w:bCs/>
        </w:rPr>
        <w:t xml:space="preserve">The gate. </w:t>
      </w:r>
      <w:r>
        <w:rPr>
          <w:rFonts w:ascii="Georgia" w:cs="Georgia" w:eastAsia="Georgia" w:hAnsi="Georgia"/>
        </w:rPr>
        <w:t xml:space="preserve">Because the in-cohort version has minors leading minors, it requires CCA leadership sign-off and a Virginia legal review before it runs — exactly the review the Inviting Others handbook already reserves for teen leadership. We build this ready, and we hold it behind that gate. The dorm version, being adults leading adults, does not carry that particular constraint — a genuinely lighter picture, and worth keeping distinct.</w:t>
      </w:r>
    </w:p>
    <w:p>
      <w:pPr>
        <w:spacing w:before="120"/>
      </w:pPr>
      <w:r>
        <w:rPr>
          <w:rFonts w:ascii="Georgia" w:cs="Georgia" w:eastAsia="Georgia" w:hAnsi="Georgia"/>
          <w:i/>
          <w:iCs/>
          <w:sz w:val="20"/>
          <w:szCs w:val="20"/>
        </w:rPr>
        <w:t xml:space="preserve">This section is informational, not legal advice. Confirm current Virginia law and CCA policy with qualified counsel before launch.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20"/>
      <w:outlineLvl w:val="0"/>
    </w:pPr>
    <w:rPr>
      <w:rFonts w:ascii="Georgia" w:cs="Georgia" w:eastAsia="Georgia" w:hAnsi="Georgia"/>
      <w:b/>
      <w:bCs/>
      <w:color w:val="8A5A1B"/>
      <w:sz w:val="28"/>
      <w:szCs w:val="28"/>
    </w:rPr>
  </w:style>
  <w:style w:type="paragraph" w:styleId="Heading2">
    <w:name w:val="Heading 2"/>
    <w:basedOn w:val="Normal"/>
    <w:next w:val="Normal"/>
    <w:qFormat/>
    <w:pPr>
      <w:spacing w:after="110" w:before="22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2026-07-03T00:44:14.262Z</dcterms:created>
  <dcterms:modified xsi:type="dcterms:W3CDTF">2026-07-03T00:44:14.263Z</dcterms:modified>
</cp:coreProperties>
</file>

<file path=docProps/custom.xml><?xml version="1.0" encoding="utf-8"?>
<Properties xmlns="http://schemas.openxmlformats.org/officeDocument/2006/custom-properties" xmlns:vt="http://schemas.openxmlformats.org/officeDocument/2006/docPropsVTypes"/>
</file>