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8A5A1B"/>
          <w:sz w:val="34"/>
          <w:szCs w:val="34"/>
        </w:rPr>
        <w:t xml:space="preserve">FELLOWSHIP OF THE HEART</w:t>
      </w:r>
    </w:p>
    <w:p>
      <w:pPr>
        <w:spacing w:after="40"/>
        <w:jc w:val="center"/>
      </w:pPr>
      <w:r>
        <w:rPr>
          <w:rFonts w:ascii="Georgia" w:cs="Georgia" w:eastAsia="Georgia" w:hAnsi="Georgia"/>
          <w:sz w:val="22"/>
          <w:szCs w:val="22"/>
        </w:rPr>
        <w:t xml:space="preserve">Getting Started series  ·  The Companion-in-Formation Track</w:t>
      </w:r>
    </w:p>
    <w:p>
      <w:pPr>
        <w:spacing w:after="40"/>
        <w:jc w:val="center"/>
      </w:pPr>
      <w:r>
        <w:rPr>
          <w:rFonts w:ascii="Georgia" w:cs="Georgia" w:eastAsia="Georgia" w:hAnsi="Georgia"/>
          <w:b/>
          <w:bCs/>
          <w:sz w:val="30"/>
          <w:szCs w:val="30"/>
        </w:rPr>
        <w:t xml:space="preserve">The FC1 Leader Lab</w:t>
      </w:r>
    </w:p>
    <w:p>
      <w:pPr>
        <w:spacing w:after="160"/>
        <w:jc w:val="center"/>
      </w:pPr>
      <w:r>
        <w:rPr>
          <w:rFonts w:ascii="Georgia" w:cs="Georgia" w:eastAsia="Georgia" w:hAnsi="Georgia"/>
          <w:i/>
          <w:iCs/>
          <w:sz w:val="22"/>
          <w:szCs w:val="22"/>
        </w:rPr>
        <w:t xml:space="preserve">Facilitator Guide</w:t>
      </w:r>
    </w:p>
    <w:p>
      <w:pPr>
        <w:spacing w:after="20"/>
        <w:jc w:val="center"/>
      </w:pPr>
      <w:r>
        <w:rPr>
          <w:rFonts w:ascii="Georgia" w:cs="Georgia" w:eastAsia="Georgia" w:hAnsi="Georgia"/>
          <w:sz w:val="20"/>
          <w:szCs w:val="20"/>
        </w:rPr>
        <w:t xml:space="preserve">Pilot edition — draft companion to the Four Connects Handbook</w:t>
      </w:r>
    </w:p>
    <w:p>
      <w:pPr>
        <w:spacing w:after="200"/>
        <w:jc w:val="center"/>
      </w:pPr>
      <w:r>
        <w:rPr>
          <w:rFonts w:ascii="Georgia" w:cs="Georgia" w:eastAsia="Georgia" w:hAnsi="Georgia"/>
          <w:sz w:val="20"/>
          <w:szCs w:val="20"/>
        </w:rPr>
        <w:t xml:space="preserve">John G. Tittle  ·  drafted with the team, July 2026</w:t>
      </w:r>
    </w:p>
    <w:p>
      <w:pPr>
        <w:pBdr>
          <w:bottom w:val="single" w:color="C9B892" w:sz="6" w:space="4"/>
        </w:pBdr>
        <w:spacing w:after="160" w:before="60"/>
      </w:pPr>
      <w:r>
        <w:rPr>
          <w:rFonts w:ascii="Georgia" w:cs="Georgia" w:eastAsia="Georgia" w:hAnsi="Georgia"/>
        </w:rPr>
        <w:t xml:space="preserve"/>
      </w:r>
    </w:p>
    <w:p>
      <w:pPr>
        <w:spacing w:after="120" w:line="264"/>
      </w:pPr>
      <w:r>
        <w:rPr>
          <w:rFonts w:ascii="Georgia" w:cs="Georgia" w:eastAsia="Georgia" w:hAnsi="Georgia"/>
        </w:rPr>
        <w:t xml:space="preserve">The Leader Lab is the off-line half of forming a senior to FC1. The reps — leading the container, PROAPT, the Garden — happen inside the cohort, on the second running of each process, in front of everyone (see the Companion-in-Formation Track and the thirteen-week map). The Lab is where we form everything the cohort floor cannot: the safety boundary, the referral reflex, the covering relationship, and the judgment to carry this into a world with no adult in the room.</w:t>
      </w:r>
    </w:p>
    <w:p>
      <w:pPr>
        <w:spacing w:after="120" w:line="264"/>
      </w:pPr>
      <w:r>
        <w:rPr>
          <w:rFonts w:ascii="Georgia" w:cs="Georgia" w:eastAsia="Georgia" w:hAnsi="Georgia"/>
          <w:b/>
          <w:bCs/>
        </w:rPr>
        <w:t xml:space="preserve">Six sessions, run alongside the thirteen-week series — roughly one every two weeks.</w:t>
      </w:r>
      <w:r>
        <w:rPr>
          <w:rFonts w:ascii="Georgia" w:cs="Georgia" w:eastAsia="Georgia" w:hAnsi="Georgia"/>
        </w:rPr>
        <w:t xml:space="preserve"> Keep the Lab small: the Companions-in-Formation and one or two adult Companions. The Lab is itself a container — open and close it the way we open and close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Lab</w:t>
            </w:r>
          </w:p>
        </w:tc>
        <w:tc>
          <w:tcPr>
            <w:tcW w:type="dxa" w:w="240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Alongside cohort</w:t>
            </w:r>
          </w:p>
        </w:tc>
        <w:tc>
          <w:tcPr>
            <w:tcW w:type="dxa" w:w="5960"/>
            <w:tcBorders>
              <w:top w:val="single" w:color="D8CBB2" w:sz="1"/>
              <w:left w:val="single" w:color="D8CBB2" w:sz="1"/>
              <w:bottom w:val="single" w:color="D8CBB2" w:sz="1"/>
              <w:right w:val="single" w:color="D8CBB2" w:sz="1"/>
            </w:tcBorders>
            <w:shd w:fill="EDE7D9" w:val="clear"/>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Focus</w:t>
            </w:r>
          </w:p>
        </w:tc>
      </w:tr>
      <w:tr>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1</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Weeks 1–2</w:t>
            </w:r>
          </w:p>
        </w:tc>
        <w:tc>
          <w:tcPr>
            <w:tcW w:type="dxa" w:w="59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The call, the bright line, the container from the inside</w:t>
            </w:r>
          </w:p>
        </w:tc>
      </w:tr>
      <w:tr>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2</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Weeks 3–4</w:t>
            </w:r>
          </w:p>
        </w:tc>
        <w:tc>
          <w:tcPr>
            <w:tcW w:type="dxa" w:w="59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Receiving feedback; leading yourself; the referral reflex</w:t>
            </w:r>
          </w:p>
        </w:tc>
      </w:tr>
      <w:tr>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3</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Weeks 5–7</w:t>
            </w:r>
          </w:p>
        </w:tc>
        <w:tc>
          <w:tcPr>
            <w:tcW w:type="dxa" w:w="59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Leading a process; why the Connect order matters</w:t>
            </w:r>
          </w:p>
        </w:tc>
      </w:tr>
      <w:tr>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4</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Weeks 8–9</w:t>
            </w:r>
          </w:p>
        </w:tc>
        <w:tc>
          <w:tcPr>
            <w:tcW w:type="dxa" w:w="59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color w:val="8A5A1B"/>
                <w:sz w:val="19"/>
                <w:szCs w:val="19"/>
              </w:rPr>
              <w:t xml:space="preserve">Scope, referral, covering — the dorm-safety session</w:t>
            </w:r>
          </w:p>
        </w:tc>
      </w:tr>
      <w:tr>
        <w:tc>
          <w:tcPr>
            <w:tcW w:type="dxa" w:w="10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5</w:t>
            </w:r>
          </w:p>
        </w:tc>
        <w:tc>
          <w:tcPr>
            <w:tcW w:type="dxa" w:w="240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Weeks 10–11</w:t>
            </w:r>
          </w:p>
        </w:tc>
        <w:tc>
          <w:tcPr>
            <w:tcW w:type="dxa" w:w="5960"/>
            <w:tcBorders>
              <w:top w:val="single" w:color="D8CBB2" w:sz="1"/>
              <w:left w:val="single" w:color="D8CBB2" w:sz="1"/>
              <w:bottom w:val="single" w:color="D8CBB2" w:sz="1"/>
              <w:right w:val="single" w:color="D8CBB2" w:sz="1"/>
            </w:tcBorders>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Adapting it to a peer-only world; making the ask</w:t>
            </w:r>
          </w:p>
        </w:tc>
      </w:tr>
      <w:tr>
        <w:tc>
          <w:tcPr>
            <w:tcW w:type="dxa" w:w="10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bCs/>
                <w:sz w:val="19"/>
                <w:szCs w:val="19"/>
              </w:rPr>
              <w:t xml:space="preserve">6</w:t>
            </w:r>
          </w:p>
        </w:tc>
        <w:tc>
          <w:tcPr>
            <w:tcW w:type="dxa" w:w="240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Weeks 12–13</w:t>
            </w:r>
          </w:p>
        </w:tc>
        <w:tc>
          <w:tcPr>
            <w:tcW w:type="dxa" w:w="5960"/>
            <w:tcBorders>
              <w:top w:val="single" w:color="D8CBB2" w:sz="1"/>
              <w:left w:val="single" w:color="D8CBB2" w:sz="1"/>
              <w:bottom w:val="single" w:color="D8CBB2" w:sz="1"/>
              <w:right w:val="single" w:color="D8CBB2" w:sz="1"/>
            </w:tcBorders>
            <w:shd w:fill="FBF9F4" w:val="clear"/>
            <w:tcMar>
              <w:top w:type="dxa" w:w="60"/>
              <w:left w:type="dxa" w:w="110"/>
              <w:bottom w:type="dxa" w:w="60"/>
              <w:right w:type="dxa" w:w="110"/>
            </w:tcMar>
            <w:vAlign w:val="center"/>
          </w:tcPr>
          <w:p>
            <w:pPr>
              <w:spacing w:after="0" w:line="240"/>
            </w:pPr>
            <w:r>
              <w:rPr>
                <w:rFonts w:ascii="Georgia" w:cs="Georgia" w:eastAsia="Georgia" w:hAnsi="Georgia"/>
                <w:b w:val="false"/>
                <w:bCs w:val="false"/>
                <w:sz w:val="19"/>
                <w:szCs w:val="19"/>
              </w:rPr>
              <w:t xml:space="preserve">Mock full session + commissioning</w:t>
            </w:r>
          </w:p>
        </w:tc>
      </w:tr>
    </w:tbl>
    <w:p>
      <w:pPr>
        <w:pBdr>
          <w:bottom w:val="single" w:color="C9B892" w:sz="6" w:space="4"/>
        </w:pBdr>
        <w:spacing w:after="160" w:before="60"/>
      </w:pPr>
      <w:r>
        <w:rPr>
          <w:rFonts w:ascii="Georgia" w:cs="Georgia" w:eastAsia="Georgia" w:hAnsi="Georgia"/>
        </w:rPr>
        <w:t xml:space="preserve"/>
      </w:r>
    </w:p>
    <w:p>
      <w:pPr>
        <w:pStyle w:val="Heading1"/>
        <w:spacing w:after="140" w:before="320"/>
      </w:pPr>
      <w:r>
        <w:rPr>
          <w:rFonts w:ascii="Georgia" w:cs="Georgia" w:eastAsia="Georgia" w:hAnsi="Georgia"/>
          <w:b/>
          <w:bCs/>
          <w:color w:val="8A5A1B"/>
        </w:rPr>
        <w:t xml:space="preserve">Lab 1 — The Call and the Container  (alongside Weeks 1–2)</w:t>
      </w:r>
    </w:p>
    <w:p>
      <w:pPr>
        <w:spacing w:after="120" w:line="264"/>
      </w:pPr>
      <w:r>
        <w:rPr>
          <w:rFonts w:ascii="Georgia" w:cs="Georgia" w:eastAsia="Georgia" w:hAnsi="Georgia"/>
          <w:b/>
          <w:bCs/>
        </w:rPr>
        <w:t xml:space="preserve">Aim. </w:t>
      </w:r>
      <w:r>
        <w:rPr>
          <w:rFonts w:ascii="Georgia" w:cs="Georgia" w:eastAsia="Georgia" w:hAnsi="Georgia"/>
        </w:rPr>
        <w:t xml:space="preserve">Name the role and the two things that govern it; internalize the four container conditions from the inside; and learn the three rules that never bend before ever taking a running.</w:t>
      </w:r>
    </w:p>
    <w:p>
      <w:pPr>
        <w:spacing w:after="120" w:line="264"/>
      </w:pPr>
      <w:r>
        <w:rPr>
          <w:rFonts w:ascii="Georgia" w:cs="Georgia" w:eastAsia="Georgia" w:hAnsi="Georgia"/>
          <w:b/>
          <w:bCs/>
        </w:rPr>
        <w:t xml:space="preserve">What it builds. </w:t>
      </w:r>
      <w:r>
        <w:rPr>
          <w:rFonts w:ascii="Georgia" w:cs="Georgia" w:eastAsia="Georgia" w:hAnsi="Georgia"/>
        </w:rPr>
        <w:t xml:space="preserve">Role clarity; container fluency (begun); the safety foundation.</w:t>
      </w:r>
    </w:p>
    <w:p>
      <w:pPr>
        <w:spacing w:after="40"/>
      </w:pPr>
      <w:r>
        <w:rPr>
          <w:rFonts w:ascii="Georgia" w:cs="Georgia" w:eastAsia="Georgia" w:hAnsi="Georgia"/>
          <w:b/>
          <w:bCs/>
        </w:rPr>
        <w:t xml:space="preserve">The session.</w:t>
      </w:r>
    </w:p>
    <w:p>
      <w:pPr>
        <w:pStyle w:val="ListParagraph"/>
        <w:numPr>
          <w:ilvl w:val="0"/>
          <w:numId w:val="2"/>
        </w:numPr>
        <w:spacing w:after="80" w:line="264"/>
      </w:pPr>
      <w:r>
        <w:rPr>
          <w:rFonts w:ascii="Georgia" w:cs="Georgia" w:eastAsia="Georgia" w:hAnsi="Georgia"/>
          <w:b/>
          <w:bCs/>
        </w:rPr>
        <w:t xml:space="preserve">Open the container</w:t>
      </w:r>
      <w:r>
        <w:rPr>
          <w:rFonts w:ascii="Georgia" w:cs="Georgia" w:eastAsia="Georgia" w:hAnsi="Georgia"/>
        </w:rPr>
        <w:t xml:space="preserve"> — an adult leads it; the seniors experience it as the very thing they will soon lead.</w:t>
      </w:r>
    </w:p>
    <w:p>
      <w:pPr>
        <w:pStyle w:val="ListParagraph"/>
        <w:numPr>
          <w:ilvl w:val="0"/>
          <w:numId w:val="2"/>
        </w:numPr>
        <w:spacing w:after="80" w:line="264"/>
      </w:pPr>
      <w:r>
        <w:rPr>
          <w:rFonts w:ascii="Georgia" w:cs="Georgia" w:eastAsia="Georgia" w:hAnsi="Georgia"/>
          <w:b/>
          <w:bCs/>
        </w:rPr>
        <w:t xml:space="preserve">What FC1 is — and is not.</w:t>
      </w:r>
      <w:r>
        <w:rPr>
          <w:rFonts w:ascii="Georgia" w:cs="Georgia" w:eastAsia="Georgia" w:hAnsi="Georgia"/>
        </w:rPr>
        <w:t xml:space="preserve"> The modest, stable definition. FC1 is a real place to stand, not a stop on the way to something else.</w:t>
      </w:r>
    </w:p>
    <w:p>
      <w:pPr>
        <w:pStyle w:val="ListParagraph"/>
        <w:numPr>
          <w:ilvl w:val="0"/>
          <w:numId w:val="2"/>
        </w:numPr>
        <w:spacing w:after="80" w:line="264"/>
      </w:pPr>
      <w:r>
        <w:rPr>
          <w:rFonts w:ascii="Georgia" w:cs="Georgia" w:eastAsia="Georgia" w:hAnsi="Georgia"/>
          <w:b/>
          <w:bCs/>
        </w:rPr>
        <w:t xml:space="preserve">The bright line.</w:t>
      </w:r>
      <w:r>
        <w:rPr>
          <w:rFonts w:ascii="Georgia" w:cs="Georgia" w:eastAsia="Georgia" w:hAnsi="Georgia"/>
        </w:rPr>
        <w:t xml:space="preserve"> Process leadership versus care leadership, and where the line falls in each session of the series.</w:t>
      </w:r>
    </w:p>
    <w:p>
      <w:pPr>
        <w:pStyle w:val="ListParagraph"/>
        <w:numPr>
          <w:ilvl w:val="0"/>
          <w:numId w:val="2"/>
        </w:numPr>
        <w:spacing w:after="80" w:line="264"/>
      </w:pPr>
      <w:r>
        <w:rPr>
          <w:rFonts w:ascii="Georgia" w:cs="Georgia" w:eastAsia="Georgia" w:hAnsi="Georgia"/>
          <w:b/>
          <w:bCs/>
        </w:rPr>
        <w:t xml:space="preserve">The three rules that never bend.</w:t>
      </w:r>
      <w:r>
        <w:rPr>
          <w:rFonts w:ascii="Georgia" w:cs="Georgia" w:eastAsia="Georgia" w:hAnsi="Georgia"/>
        </w:rPr>
        <w:t xml:space="preserve"> Walk the limits card. Drill rule two: “something heavy surfaces while you’re leading — what do you do?” Answer, every time: hand it to the adult, keep holding the container.</w:t>
      </w:r>
    </w:p>
    <w:p>
      <w:pPr>
        <w:pStyle w:val="ListParagraph"/>
        <w:numPr>
          <w:ilvl w:val="0"/>
          <w:numId w:val="2"/>
        </w:numPr>
        <w:spacing w:after="80" w:line="264"/>
      </w:pPr>
      <w:r>
        <w:rPr>
          <w:rFonts w:ascii="Georgia" w:cs="Georgia" w:eastAsia="Georgia" w:hAnsi="Georgia"/>
          <w:b/>
          <w:bCs/>
        </w:rPr>
        <w:t xml:space="preserve">The container from the inside.</w:t>
      </w:r>
      <w:r>
        <w:rPr>
          <w:rFonts w:ascii="Georgia" w:cs="Georgia" w:eastAsia="Georgia" w:hAnsi="Georgia"/>
        </w:rPr>
        <w:t xml:space="preserve"> Take Safe, Present, Clear, Intentional one at a time — where each comes from, and how you rebuild it when it slips.</w:t>
      </w:r>
    </w:p>
    <w:p>
      <w:pPr>
        <w:pStyle w:val="ListParagraph"/>
        <w:numPr>
          <w:ilvl w:val="0"/>
          <w:numId w:val="2"/>
        </w:numPr>
        <w:spacing w:after="80" w:line="264"/>
      </w:pPr>
      <w:r>
        <w:rPr>
          <w:rFonts w:ascii="Georgia" w:cs="Georgia" w:eastAsia="Georgia" w:hAnsi="Georgia"/>
          <w:b/>
          <w:bCs/>
        </w:rPr>
        <w:t xml:space="preserve">First mock open/close</w:t>
      </w:r>
      <w:r>
        <w:rPr>
          <w:rFonts w:ascii="Georgia" w:cs="Georgia" w:eastAsia="Georgia" w:hAnsi="Georgia"/>
        </w:rPr>
        <w:t xml:space="preserve"> among the lab group.</w:t>
      </w:r>
    </w:p>
    <w:p>
      <w:pPr>
        <w:pStyle w:val="ListParagraph"/>
        <w:numPr>
          <w:ilvl w:val="0"/>
          <w:numId w:val="2"/>
        </w:numPr>
        <w:spacing w:after="80" w:line="264"/>
      </w:pPr>
      <w:r>
        <w:rPr>
          <w:rFonts w:ascii="Georgia" w:cs="Georgia" w:eastAsia="Georgia" w:hAnsi="Georgia"/>
          <w:b/>
          <w:bCs/>
        </w:rPr>
        <w:t xml:space="preserve">Close the container.</w:t>
      </w:r>
    </w:p>
    <w:p>
      <w:pPr>
        <w:spacing w:after="120" w:line="264"/>
      </w:pPr>
      <w:r>
        <w:rPr>
          <w:rFonts w:ascii="Georgia" w:cs="Georgia" w:eastAsia="Georgia" w:hAnsi="Georgia"/>
          <w:b/>
          <w:bCs/>
        </w:rPr>
        <w:t xml:space="preserve">Take-home. </w:t>
      </w:r>
      <w:r>
        <w:rPr>
          <w:rFonts w:ascii="Georgia" w:cs="Georgia" w:eastAsia="Georgia" w:hAnsi="Georgia"/>
        </w:rPr>
        <w:t xml:space="preserve">The limits card, memorized. Watch the Week-2 opening as a leader-in-waiting, not just a participant.</w:t>
      </w:r>
    </w:p>
    <w:p>
      <w:pPr>
        <w:pStyle w:val="Heading1"/>
        <w:spacing w:after="140" w:before="320"/>
      </w:pPr>
      <w:r>
        <w:rPr>
          <w:rFonts w:ascii="Georgia" w:cs="Georgia" w:eastAsia="Georgia" w:hAnsi="Georgia"/>
          <w:b/>
          <w:bCs/>
          <w:color w:val="8A5A1B"/>
        </w:rPr>
        <w:t xml:space="preserve">Lab 2 — Receiving Feedback, Leading Yourself  (alongside Weeks 3–4)</w:t>
      </w:r>
    </w:p>
    <w:p>
      <w:pPr>
        <w:spacing w:after="120" w:line="264"/>
      </w:pPr>
      <w:r>
        <w:rPr>
          <w:rFonts w:ascii="Georgia" w:cs="Georgia" w:eastAsia="Georgia" w:hAnsi="Georgia"/>
          <w:b/>
          <w:bCs/>
        </w:rPr>
        <w:t xml:space="preserve">Aim. </w:t>
      </w:r>
      <w:r>
        <w:rPr>
          <w:rFonts w:ascii="Georgia" w:cs="Georgia" w:eastAsia="Georgia" w:hAnsi="Georgia"/>
        </w:rPr>
        <w:t xml:space="preserve">Get ready to take the first in-cohort running (Telling Your Story II, Week 4) and to receive the Leader Feedback Round well.</w:t>
      </w:r>
    </w:p>
    <w:p>
      <w:pPr>
        <w:spacing w:after="120" w:line="264"/>
      </w:pPr>
      <w:r>
        <w:rPr>
          <w:rFonts w:ascii="Georgia" w:cs="Georgia" w:eastAsia="Georgia" w:hAnsi="Georgia"/>
          <w:b/>
          <w:bCs/>
        </w:rPr>
        <w:t xml:space="preserve">What it builds. </w:t>
      </w:r>
      <w:r>
        <w:rPr>
          <w:rFonts w:ascii="Georgia" w:cs="Georgia" w:eastAsia="Georgia" w:hAnsi="Georgia"/>
        </w:rPr>
        <w:t xml:space="preserve">The feedback loop; honest self-reflection; the referral reflex, deepened.</w:t>
      </w:r>
    </w:p>
    <w:p>
      <w:pPr>
        <w:spacing w:after="40"/>
      </w:pPr>
      <w:r>
        <w:rPr>
          <w:rFonts w:ascii="Georgia" w:cs="Georgia" w:eastAsia="Georgia" w:hAnsi="Georgia"/>
          <w:b/>
          <w:bCs/>
        </w:rPr>
        <w:t xml:space="preserve">The session.</w:t>
      </w:r>
    </w:p>
    <w:p>
      <w:pPr>
        <w:pStyle w:val="ListParagraph"/>
        <w:numPr>
          <w:ilvl w:val="0"/>
          <w:numId w:val="3"/>
        </w:numPr>
        <w:spacing w:after="80" w:line="264"/>
      </w:pPr>
      <w:r>
        <w:rPr>
          <w:rFonts w:ascii="Georgia" w:cs="Georgia" w:eastAsia="Georgia" w:hAnsi="Georgia"/>
          <w:b/>
          <w:bCs/>
        </w:rPr>
        <w:t xml:space="preserve">Open.</w:t>
      </w:r>
    </w:p>
    <w:p>
      <w:pPr>
        <w:pStyle w:val="ListParagraph"/>
        <w:numPr>
          <w:ilvl w:val="0"/>
          <w:numId w:val="3"/>
        </w:numPr>
        <w:spacing w:after="80" w:line="264"/>
      </w:pPr>
      <w:r>
        <w:rPr>
          <w:rFonts w:ascii="Georgia" w:cs="Georgia" w:eastAsia="Georgia" w:hAnsi="Georgia"/>
          <w:b/>
          <w:bCs/>
        </w:rPr>
        <w:t xml:space="preserve">Rehearse the running you’re about to lead.</w:t>
      </w:r>
      <w:r>
        <w:rPr>
          <w:rFonts w:ascii="Georgia" w:cs="Georgia" w:eastAsia="Georgia" w:hAnsi="Georgia"/>
        </w:rPr>
        <w:t xml:space="preserve"> Walk the Wk-4 container open, the story facilitation, and the blessing round. Who leads which part; where the adult stays close.</w:t>
      </w:r>
    </w:p>
    <w:p>
      <w:pPr>
        <w:pStyle w:val="ListParagraph"/>
        <w:numPr>
          <w:ilvl w:val="0"/>
          <w:numId w:val="3"/>
        </w:numPr>
        <w:spacing w:after="80" w:line="264"/>
      </w:pPr>
      <w:r>
        <w:rPr>
          <w:rFonts w:ascii="Georgia" w:cs="Georgia" w:eastAsia="Georgia" w:hAnsi="Georgia"/>
          <w:b/>
          <w:bCs/>
        </w:rPr>
        <w:t xml:space="preserve">Receiving feedback well.</w:t>
      </w:r>
      <w:r>
        <w:rPr>
          <w:rFonts w:ascii="Georgia" w:cs="Georgia" w:eastAsia="Georgia" w:hAnsi="Georgia"/>
        </w:rPr>
        <w:t xml:space="preserve"> Walk the Leader Feedback Round from the leader’s chair: how to take affirmation without inflating, and growth without collapsing. It is not a performance review — it is formation.</w:t>
      </w:r>
    </w:p>
    <w:p>
      <w:pPr>
        <w:pStyle w:val="ListParagraph"/>
        <w:numPr>
          <w:ilvl w:val="0"/>
          <w:numId w:val="3"/>
        </w:numPr>
        <w:spacing w:after="80" w:line="264"/>
      </w:pPr>
      <w:r>
        <w:rPr>
          <w:rFonts w:ascii="Georgia" w:cs="Georgia" w:eastAsia="Georgia" w:hAnsi="Georgia"/>
          <w:b/>
          <w:bCs/>
        </w:rPr>
        <w:t xml:space="preserve">Noticing yourself while leading.</w:t>
      </w:r>
      <w:r>
        <w:rPr>
          <w:rFonts w:ascii="Georgia" w:cs="Georgia" w:eastAsia="Georgia" w:hAnsi="Georgia"/>
        </w:rPr>
        <w:t xml:space="preserve"> The private reflection: where did I want to fix instead of hold space? Where did I rush? The goal is not to lead perfectly but to notice honestly.</w:t>
      </w:r>
    </w:p>
    <w:p>
      <w:pPr>
        <w:pStyle w:val="ListParagraph"/>
        <w:numPr>
          <w:ilvl w:val="0"/>
          <w:numId w:val="3"/>
        </w:numPr>
        <w:spacing w:after="80" w:line="264"/>
      </w:pPr>
      <w:r>
        <w:rPr>
          <w:rFonts w:ascii="Georgia" w:cs="Georgia" w:eastAsia="Georgia" w:hAnsi="Georgia"/>
          <w:b/>
          <w:bCs/>
        </w:rPr>
        <w:t xml:space="preserve">The referral drill, harder.</w:t>
      </w:r>
      <w:r>
        <w:rPr>
          <w:rFonts w:ascii="Georgia" w:cs="Georgia" w:eastAsia="Georgia" w:hAnsi="Georgia"/>
        </w:rPr>
        <w:t xml:space="preserve"> A teen in your circle tears up and says something about home. What do you do? Hand it to the adult; keep holding the container.</w:t>
      </w:r>
    </w:p>
    <w:p>
      <w:pPr>
        <w:pStyle w:val="ListParagraph"/>
        <w:numPr>
          <w:ilvl w:val="0"/>
          <w:numId w:val="3"/>
        </w:numPr>
        <w:spacing w:after="80" w:line="264"/>
      </w:pPr>
      <w:r>
        <w:rPr>
          <w:rFonts w:ascii="Georgia" w:cs="Georgia" w:eastAsia="Georgia" w:hAnsi="Georgia"/>
          <w:b/>
          <w:bCs/>
        </w:rPr>
        <w:t xml:space="preserve">Close.</w:t>
      </w:r>
    </w:p>
    <w:p>
      <w:pPr>
        <w:spacing w:after="120" w:line="264"/>
      </w:pPr>
      <w:r>
        <w:rPr>
          <w:rFonts w:ascii="Georgia" w:cs="Georgia" w:eastAsia="Georgia" w:hAnsi="Georgia"/>
          <w:b/>
          <w:bCs/>
        </w:rPr>
        <w:t xml:space="preserve">Take-home. </w:t>
      </w:r>
      <w:r>
        <w:rPr>
          <w:rFonts w:ascii="Georgia" w:cs="Georgia" w:eastAsia="Georgia" w:hAnsi="Georgia"/>
        </w:rPr>
        <w:t xml:space="preserve">Lead your first running this week. Afterward, write three lines: one thing I did well, one to try next time, one thing I noticed in myself.</w:t>
      </w:r>
    </w:p>
    <w:p>
      <w:pPr>
        <w:pStyle w:val="Heading1"/>
        <w:spacing w:after="140" w:before="320"/>
      </w:pPr>
      <w:r>
        <w:rPr>
          <w:rFonts w:ascii="Georgia" w:cs="Georgia" w:eastAsia="Georgia" w:hAnsi="Georgia"/>
          <w:b/>
          <w:bCs/>
          <w:color w:val="8A5A1B"/>
        </w:rPr>
        <w:t xml:space="preserve">Lab 3 — Leading a Process, and Why the Order Matters  (alongside Weeks 5–7)</w:t>
      </w:r>
    </w:p>
    <w:p>
      <w:pPr>
        <w:spacing w:after="120" w:line="264"/>
      </w:pPr>
      <w:r>
        <w:rPr>
          <w:rFonts w:ascii="Georgia" w:cs="Georgia" w:eastAsia="Georgia" w:hAnsi="Georgia"/>
          <w:b/>
          <w:bCs/>
        </w:rPr>
        <w:t xml:space="preserve">Aim. </w:t>
      </w:r>
      <w:r>
        <w:rPr>
          <w:rFonts w:ascii="Georgia" w:cs="Georgia" w:eastAsia="Georgia" w:hAnsi="Georgia"/>
        </w:rPr>
        <w:t xml:space="preserve">Solidify leading the scripted processes; understand why the Connect sequence runs Self → Others → God → Mission, so it lives in the body and not just the hand.</w:t>
      </w:r>
    </w:p>
    <w:p>
      <w:pPr>
        <w:spacing w:after="120" w:line="264"/>
      </w:pPr>
      <w:r>
        <w:rPr>
          <w:rFonts w:ascii="Georgia" w:cs="Georgia" w:eastAsia="Georgia" w:hAnsi="Georgia"/>
          <w:b/>
          <w:bCs/>
        </w:rPr>
        <w:t xml:space="preserve">What it builds. </w:t>
      </w:r>
      <w:r>
        <w:rPr>
          <w:rFonts w:ascii="Georgia" w:cs="Georgia" w:eastAsia="Georgia" w:hAnsi="Georgia"/>
        </w:rPr>
        <w:t xml:space="preserve">The whole arc with reps; the groundwork for adapting it later.</w:t>
      </w:r>
    </w:p>
    <w:p>
      <w:pPr>
        <w:spacing w:after="40"/>
      </w:pPr>
      <w:r>
        <w:rPr>
          <w:rFonts w:ascii="Georgia" w:cs="Georgia" w:eastAsia="Georgia" w:hAnsi="Georgia"/>
          <w:b/>
          <w:bCs/>
        </w:rPr>
        <w:t xml:space="preserve">The session.</w:t>
      </w:r>
    </w:p>
    <w:p>
      <w:pPr>
        <w:pStyle w:val="ListParagraph"/>
        <w:numPr>
          <w:ilvl w:val="0"/>
          <w:numId w:val="4"/>
        </w:numPr>
        <w:spacing w:after="80" w:line="264"/>
      </w:pPr>
      <w:r>
        <w:rPr>
          <w:rFonts w:ascii="Georgia" w:cs="Georgia" w:eastAsia="Georgia" w:hAnsi="Georgia"/>
          <w:b/>
          <w:bCs/>
        </w:rPr>
        <w:t xml:space="preserve">Open.</w:t>
      </w:r>
    </w:p>
    <w:p>
      <w:pPr>
        <w:pStyle w:val="ListParagraph"/>
        <w:numPr>
          <w:ilvl w:val="0"/>
          <w:numId w:val="4"/>
        </w:numPr>
        <w:spacing w:after="80" w:line="264"/>
      </w:pPr>
      <w:r>
        <w:rPr>
          <w:rFonts w:ascii="Georgia" w:cs="Georgia" w:eastAsia="Georgia" w:hAnsi="Georgia"/>
          <w:b/>
          <w:bCs/>
        </w:rPr>
        <w:t xml:space="preserve">Lead PROAPT end-to-end.</w:t>
      </w:r>
      <w:r>
        <w:rPr>
          <w:rFonts w:ascii="Georgia" w:cs="Georgia" w:eastAsia="Georgia" w:hAnsi="Georgia"/>
        </w:rPr>
        <w:t xml:space="preserve"> Each senior walks the six steps — Pray, Read, Observe, Apply, Pray again, Tell — for the lab group. Debrief.</w:t>
      </w:r>
    </w:p>
    <w:p>
      <w:pPr>
        <w:pStyle w:val="ListParagraph"/>
        <w:numPr>
          <w:ilvl w:val="0"/>
          <w:numId w:val="4"/>
        </w:numPr>
        <w:spacing w:after="80" w:line="264"/>
      </w:pPr>
      <w:r>
        <w:rPr>
          <w:rFonts w:ascii="Georgia" w:cs="Georgia" w:eastAsia="Georgia" w:hAnsi="Georgia"/>
          <w:b/>
          <w:bCs/>
        </w:rPr>
        <w:t xml:space="preserve">Teach the Four Connects back.</w:t>
      </w:r>
      <w:r>
        <w:rPr>
          <w:rFonts w:ascii="Georgia" w:cs="Georgia" w:eastAsia="Georgia" w:hAnsi="Georgia"/>
        </w:rPr>
        <w:t xml:space="preserve"> Each senior teaches the diagram in their own words. If you can teach why each connection makes the next one real, you can lead it anywhere.</w:t>
      </w:r>
    </w:p>
    <w:p>
      <w:pPr>
        <w:pStyle w:val="ListParagraph"/>
        <w:numPr>
          <w:ilvl w:val="0"/>
          <w:numId w:val="4"/>
        </w:numPr>
        <w:spacing w:after="80" w:line="264"/>
      </w:pPr>
      <w:r>
        <w:rPr>
          <w:rFonts w:ascii="Georgia" w:cs="Georgia" w:eastAsia="Georgia" w:hAnsi="Georgia"/>
          <w:b/>
          <w:bCs/>
        </w:rPr>
        <w:t xml:space="preserve">Why the order.</w:t>
      </w:r>
      <w:r>
        <w:rPr>
          <w:rFonts w:ascii="Georgia" w:cs="Georgia" w:eastAsia="Georgia" w:hAnsi="Georgia"/>
        </w:rPr>
        <w:t xml:space="preserve"> Self before Others; Self and Others before a God-connection that goes past performance; all three before Mission. Understanding the why is what lets you flex the how without breaking it.</w:t>
      </w:r>
    </w:p>
    <w:p>
      <w:pPr>
        <w:pStyle w:val="ListParagraph"/>
        <w:numPr>
          <w:ilvl w:val="0"/>
          <w:numId w:val="4"/>
        </w:numPr>
        <w:spacing w:after="80" w:line="264"/>
      </w:pPr>
      <w:r>
        <w:rPr>
          <w:rFonts w:ascii="Georgia" w:cs="Georgia" w:eastAsia="Georgia" w:hAnsi="Georgia"/>
          <w:b/>
          <w:bCs/>
        </w:rPr>
        <w:t xml:space="preserve">Close.</w:t>
      </w:r>
    </w:p>
    <w:p>
      <w:pPr>
        <w:spacing w:after="120" w:line="264"/>
      </w:pPr>
      <w:r>
        <w:rPr>
          <w:rFonts w:ascii="Georgia" w:cs="Georgia" w:eastAsia="Georgia" w:hAnsi="Georgia"/>
          <w:b/>
          <w:bCs/>
        </w:rPr>
        <w:t xml:space="preserve">Take-home. </w:t>
      </w:r>
      <w:r>
        <w:rPr>
          <w:rFonts w:ascii="Georgia" w:cs="Georgia" w:eastAsia="Georgia" w:hAnsi="Georgia"/>
        </w:rPr>
        <w:t xml:space="preserve">You’ll lead PROAPT II in the cohort (Week 8). Prepare it.</w:t>
      </w:r>
    </w:p>
    <w:p>
      <w:r>
        <w:br w:type="page"/>
      </w:r>
    </w:p>
    <w:p>
      <w:pPr>
        <w:pStyle w:val="Heading1"/>
        <w:spacing w:after="140" w:before="320"/>
      </w:pPr>
      <w:r>
        <w:rPr>
          <w:rFonts w:ascii="Georgia" w:cs="Georgia" w:eastAsia="Georgia" w:hAnsi="Georgia"/>
          <w:b/>
          <w:bCs/>
          <w:color w:val="8A5A1B"/>
        </w:rPr>
        <w:t xml:space="preserve">Lab 4 — Scope, Referral, and Covering  (alongside Weeks 8–9) — the dorm-safety session</w:t>
      </w:r>
    </w:p>
    <w:p>
      <w:pPr>
        <w:spacing w:after="120" w:line="264"/>
      </w:pPr>
      <w:r>
        <w:rPr>
          <w:rFonts w:ascii="Georgia" w:cs="Georgia" w:eastAsia="Georgia" w:hAnsi="Georgia"/>
          <w:b/>
          <w:bCs/>
        </w:rPr>
        <w:t xml:space="preserve">Aim. </w:t>
      </w:r>
      <w:r>
        <w:rPr>
          <w:rFonts w:ascii="Georgia" w:cs="Georgia" w:eastAsia="Georgia" w:hAnsi="Georgia"/>
        </w:rPr>
        <w:t xml:space="preserve">Build the two competencies that will one day replace the adults in the room. This is the most important Lab.</w:t>
      </w:r>
    </w:p>
    <w:p>
      <w:pPr>
        <w:spacing w:after="120" w:line="264"/>
      </w:pPr>
      <w:r>
        <w:rPr>
          <w:rFonts w:ascii="Georgia" w:cs="Georgia" w:eastAsia="Georgia" w:hAnsi="Georgia"/>
          <w:b/>
          <w:bCs/>
        </w:rPr>
        <w:t xml:space="preserve">What it builds. </w:t>
      </w:r>
      <w:r>
        <w:rPr>
          <w:rFonts w:ascii="Georgia" w:cs="Georgia" w:eastAsia="Georgia" w:hAnsi="Georgia"/>
        </w:rPr>
        <w:t xml:space="preserve">Scope humility and the referral reflex; a standing covering relationship.</w:t>
      </w:r>
    </w:p>
    <w:p>
      <w:pPr>
        <w:spacing w:after="40"/>
      </w:pPr>
      <w:r>
        <w:rPr>
          <w:rFonts w:ascii="Georgia" w:cs="Georgia" w:eastAsia="Georgia" w:hAnsi="Georgia"/>
          <w:b/>
          <w:bCs/>
        </w:rPr>
        <w:t xml:space="preserve">The session.</w:t>
      </w:r>
    </w:p>
    <w:p>
      <w:pPr>
        <w:pStyle w:val="ListParagraph"/>
        <w:numPr>
          <w:ilvl w:val="0"/>
          <w:numId w:val="5"/>
        </w:numPr>
        <w:spacing w:after="80" w:line="264"/>
      </w:pPr>
      <w:r>
        <w:rPr>
          <w:rFonts w:ascii="Georgia" w:cs="Georgia" w:eastAsia="Georgia" w:hAnsi="Georgia"/>
          <w:b/>
          <w:bCs/>
        </w:rPr>
        <w:t xml:space="preserve">Open.</w:t>
      </w:r>
    </w:p>
    <w:p>
      <w:pPr>
        <w:pStyle w:val="ListParagraph"/>
        <w:numPr>
          <w:ilvl w:val="0"/>
          <w:numId w:val="5"/>
        </w:numPr>
        <w:spacing w:after="80" w:line="264"/>
      </w:pPr>
      <w:r>
        <w:rPr>
          <w:rFonts w:ascii="Georgia" w:cs="Georgia" w:eastAsia="Georgia" w:hAnsi="Georgia"/>
          <w:b/>
          <w:bCs/>
        </w:rPr>
        <w:t xml:space="preserve">What FC1 cannot hold.</w:t>
      </w:r>
      <w:r>
        <w:rPr>
          <w:rFonts w:ascii="Georgia" w:cs="Georgia" w:eastAsia="Georgia" w:hAnsi="Georgia"/>
        </w:rPr>
        <w:t xml:space="preserve"> Name them plainly: thoughts of self-harm, abuse, a wound cracking open, a crisis. At CCA you hand these to the adult. In a dorm there is no adult — so the reflex has to be in you.</w:t>
      </w:r>
    </w:p>
    <w:p>
      <w:pPr>
        <w:pStyle w:val="ListParagraph"/>
        <w:numPr>
          <w:ilvl w:val="0"/>
          <w:numId w:val="5"/>
        </w:numPr>
        <w:spacing w:after="80" w:line="264"/>
      </w:pPr>
      <w:r>
        <w:rPr>
          <w:rFonts w:ascii="Georgia" w:cs="Georgia" w:eastAsia="Georgia" w:hAnsi="Georgia"/>
          <w:b/>
          <w:bCs/>
        </w:rPr>
        <w:t xml:space="preserve">Build your referral map.</w:t>
      </w:r>
      <w:r>
        <w:rPr>
          <w:rFonts w:ascii="Georgia" w:cs="Georgia" w:eastAsia="Georgia" w:hAnsi="Georgia"/>
        </w:rPr>
        <w:t xml:space="preserve"> Each senior fills in a real card for wherever they are or will be: campus counseling, 988, a trusted pastor, an RA, the parents they can still call. The blank card is not ready; the filled card is.</w:t>
      </w:r>
    </w:p>
    <w:p>
      <w:pPr>
        <w:pStyle w:val="ListParagraph"/>
        <w:numPr>
          <w:ilvl w:val="0"/>
          <w:numId w:val="5"/>
        </w:numPr>
        <w:spacing w:after="80" w:line="264"/>
      </w:pPr>
      <w:r>
        <w:rPr>
          <w:rFonts w:ascii="Georgia" w:cs="Georgia" w:eastAsia="Georgia" w:hAnsi="Georgia"/>
          <w:b/>
          <w:bCs/>
        </w:rPr>
        <w:t xml:space="preserve">Name your covering.</w:t>
      </w:r>
      <w:r>
        <w:rPr>
          <w:rFonts w:ascii="Georgia" w:cs="Georgia" w:eastAsia="Georgia" w:hAnsi="Georgia"/>
        </w:rPr>
        <w:t xml:space="preserve"> Each senior names the person they will call when they are over their head — a youth pastor, a mentor, a parent with the posture. Before you ever lead alone, that relationship is set up, not hoped for.</w:t>
      </w:r>
    </w:p>
    <w:p>
      <w:pPr>
        <w:pStyle w:val="ListParagraph"/>
        <w:numPr>
          <w:ilvl w:val="0"/>
          <w:numId w:val="5"/>
        </w:numPr>
        <w:spacing w:after="80" w:line="264"/>
      </w:pPr>
      <w:r>
        <w:rPr>
          <w:rFonts w:ascii="Georgia" w:cs="Georgia" w:eastAsia="Georgia" w:hAnsi="Georgia"/>
          <w:b/>
          <w:bCs/>
        </w:rPr>
        <w:t xml:space="preserve">The “route it” drill, for the dorm.</w:t>
      </w:r>
      <w:r>
        <w:rPr>
          <w:rFonts w:ascii="Georgia" w:cs="Georgia" w:eastAsia="Georgia" w:hAnsi="Georgia"/>
        </w:rPr>
        <w:t xml:space="preserve"> No adult in the room. A friend discloses. Walk it out loud: pause the process, be present without probing, route to your map, follow up with your covering.</w:t>
      </w:r>
    </w:p>
    <w:p>
      <w:pPr>
        <w:pStyle w:val="ListParagraph"/>
        <w:numPr>
          <w:ilvl w:val="0"/>
          <w:numId w:val="5"/>
        </w:numPr>
        <w:spacing w:after="80" w:line="264"/>
      </w:pPr>
      <w:r>
        <w:rPr>
          <w:rFonts w:ascii="Georgia" w:cs="Georgia" w:eastAsia="Georgia" w:hAnsi="Georgia"/>
          <w:b/>
          <w:bCs/>
        </w:rPr>
        <w:t xml:space="preserve">Close.</w:t>
      </w:r>
    </w:p>
    <w:p>
      <w:pPr>
        <w:spacing w:after="120" w:line="264"/>
      </w:pPr>
      <w:r>
        <w:rPr>
          <w:rFonts w:ascii="Georgia" w:cs="Georgia" w:eastAsia="Georgia" w:hAnsi="Georgia"/>
          <w:b/>
          <w:bCs/>
        </w:rPr>
        <w:t xml:space="preserve">Take-home. </w:t>
      </w:r>
      <w:r>
        <w:rPr>
          <w:rFonts w:ascii="Georgia" w:cs="Georgia" w:eastAsia="Georgia" w:hAnsi="Georgia"/>
        </w:rPr>
        <w:t xml:space="preserve">Complete the referral card and have the covering conversation before the series ends.</w:t>
      </w:r>
    </w:p>
    <w:p>
      <w:pPr>
        <w:pStyle w:val="Heading1"/>
        <w:spacing w:after="140" w:before="320"/>
      </w:pPr>
      <w:r>
        <w:rPr>
          <w:rFonts w:ascii="Georgia" w:cs="Georgia" w:eastAsia="Georgia" w:hAnsi="Georgia"/>
          <w:b/>
          <w:bCs/>
          <w:color w:val="8A5A1B"/>
        </w:rPr>
        <w:t xml:space="preserve">Lab 5 — Adapting It to Your World; Making the Ask  (alongside Weeks 10–11)</w:t>
      </w:r>
    </w:p>
    <w:p>
      <w:pPr>
        <w:spacing w:after="120" w:line="264"/>
      </w:pPr>
      <w:r>
        <w:rPr>
          <w:rFonts w:ascii="Georgia" w:cs="Georgia" w:eastAsia="Georgia" w:hAnsi="Georgia"/>
          <w:b/>
          <w:bCs/>
        </w:rPr>
        <w:t xml:space="preserve">Aim. </w:t>
      </w:r>
      <w:r>
        <w:rPr>
          <w:rFonts w:ascii="Georgia" w:cs="Georgia" w:eastAsia="Georgia" w:hAnsi="Georgia"/>
        </w:rPr>
        <w:t xml:space="preserve">Prepare for the peer-only reality and the skill of gathering a group.</w:t>
      </w:r>
    </w:p>
    <w:p>
      <w:pPr>
        <w:spacing w:after="120" w:line="264"/>
      </w:pPr>
      <w:r>
        <w:rPr>
          <w:rFonts w:ascii="Georgia" w:cs="Georgia" w:eastAsia="Georgia" w:hAnsi="Georgia"/>
          <w:b/>
          <w:bCs/>
        </w:rPr>
        <w:t xml:space="preserve">What it builds. </w:t>
      </w:r>
      <w:r>
        <w:rPr>
          <w:rFonts w:ascii="Georgia" w:cs="Georgia" w:eastAsia="Georgia" w:hAnsi="Georgia"/>
        </w:rPr>
        <w:t xml:space="preserve">Adaptation judgment; the invite-and-gather skill; the discipline of what to hold back.</w:t>
      </w:r>
    </w:p>
    <w:p>
      <w:pPr>
        <w:spacing w:after="40"/>
      </w:pPr>
      <w:r>
        <w:rPr>
          <w:rFonts w:ascii="Georgia" w:cs="Georgia" w:eastAsia="Georgia" w:hAnsi="Georgia"/>
          <w:b/>
          <w:bCs/>
        </w:rPr>
        <w:t xml:space="preserve">The session.</w:t>
      </w:r>
    </w:p>
    <w:p>
      <w:pPr>
        <w:pStyle w:val="ListParagraph"/>
        <w:numPr>
          <w:ilvl w:val="0"/>
          <w:numId w:val="6"/>
        </w:numPr>
        <w:spacing w:after="80" w:line="264"/>
      </w:pPr>
      <w:r>
        <w:rPr>
          <w:rFonts w:ascii="Georgia" w:cs="Georgia" w:eastAsia="Georgia" w:hAnsi="Georgia"/>
          <w:b/>
          <w:bCs/>
        </w:rPr>
        <w:t xml:space="preserve">Open.</w:t>
      </w:r>
    </w:p>
    <w:p>
      <w:pPr>
        <w:pStyle w:val="ListParagraph"/>
        <w:numPr>
          <w:ilvl w:val="0"/>
          <w:numId w:val="6"/>
        </w:numPr>
        <w:spacing w:after="80" w:line="264"/>
      </w:pPr>
      <w:r>
        <w:rPr>
          <w:rFonts w:ascii="Georgia" w:cs="Georgia" w:eastAsia="Georgia" w:hAnsi="Georgia"/>
          <w:b/>
          <w:bCs/>
        </w:rPr>
        <w:t xml:space="preserve">What flexes, and what doesn’t.</w:t>
      </w:r>
      <w:r>
        <w:rPr>
          <w:rFonts w:ascii="Georgia" w:cs="Georgia" w:eastAsia="Georgia" w:hAnsi="Georgia"/>
        </w:rPr>
        <w:t xml:space="preserve"> In a dorm there are no parents and no parallel circles — that architecture drops away. What never drops: the Connect sequence, the container, the bright line, the three rules. Practice redesigning a session for six peers around a common room.</w:t>
      </w:r>
    </w:p>
    <w:p>
      <w:pPr>
        <w:pStyle w:val="ListParagraph"/>
        <w:numPr>
          <w:ilvl w:val="0"/>
          <w:numId w:val="6"/>
        </w:numPr>
        <w:spacing w:after="80" w:line="264"/>
      </w:pPr>
      <w:r>
        <w:rPr>
          <w:rFonts w:ascii="Georgia" w:cs="Georgia" w:eastAsia="Georgia" w:hAnsi="Georgia"/>
          <w:b/>
          <w:bCs/>
        </w:rPr>
        <w:t xml:space="preserve">What we hold back — with no one watching.</w:t>
      </w:r>
      <w:r>
        <w:rPr>
          <w:rFonts w:ascii="Georgia" w:cs="Georgia" w:eastAsia="Georgia" w:hAnsi="Georgia"/>
        </w:rPr>
        <w:t xml:space="preserve"> The same discipline the handbook names for Companions: no deep wound work, no deliverance ministry, no high-intensity practices. It is harder to hold when you are the only leader — name it now, out loud.</w:t>
      </w:r>
    </w:p>
    <w:p>
      <w:pPr>
        <w:pStyle w:val="ListParagraph"/>
        <w:numPr>
          <w:ilvl w:val="0"/>
          <w:numId w:val="6"/>
        </w:numPr>
        <w:spacing w:after="80" w:line="264"/>
      </w:pPr>
      <w:r>
        <w:rPr>
          <w:rFonts w:ascii="Georgia" w:cs="Georgia" w:eastAsia="Georgia" w:hAnsi="Georgia"/>
          <w:b/>
          <w:bCs/>
        </w:rPr>
        <w:t xml:space="preserve">Making the ask.</w:t>
      </w:r>
      <w:r>
        <w:rPr>
          <w:rFonts w:ascii="Georgia" w:cs="Georgia" w:eastAsia="Georgia" w:hAnsi="Georgia"/>
        </w:rPr>
        <w:t xml:space="preserve"> How to gather four to eight peers, frame the covenant, and set the container expectation. Role-play the invitation both ways — the yes, and the not now.</w:t>
      </w:r>
    </w:p>
    <w:p>
      <w:pPr>
        <w:pStyle w:val="ListParagraph"/>
        <w:numPr>
          <w:ilvl w:val="0"/>
          <w:numId w:val="6"/>
        </w:numPr>
        <w:spacing w:after="80" w:line="264"/>
      </w:pPr>
      <w:r>
        <w:rPr>
          <w:rFonts w:ascii="Georgia" w:cs="Georgia" w:eastAsia="Georgia" w:hAnsi="Georgia"/>
          <w:b/>
          <w:bCs/>
        </w:rPr>
        <w:t xml:space="preserve">Close.</w:t>
      </w:r>
    </w:p>
    <w:p>
      <w:pPr>
        <w:spacing w:after="120" w:line="264"/>
      </w:pPr>
      <w:r>
        <w:rPr>
          <w:rFonts w:ascii="Georgia" w:cs="Georgia" w:eastAsia="Georgia" w:hAnsi="Georgia"/>
          <w:b/>
          <w:bCs/>
        </w:rPr>
        <w:t xml:space="preserve">Take-home. </w:t>
      </w:r>
      <w:r>
        <w:rPr>
          <w:rFonts w:ascii="Georgia" w:cs="Georgia" w:eastAsia="Georgia" w:hAnsi="Georgia"/>
        </w:rPr>
        <w:t xml:space="preserve">Draft your own invitation, in your own words.</w:t>
      </w:r>
    </w:p>
    <w:p>
      <w:pPr>
        <w:pStyle w:val="Heading1"/>
        <w:spacing w:after="140" w:before="320"/>
      </w:pPr>
      <w:r>
        <w:rPr>
          <w:rFonts w:ascii="Georgia" w:cs="Georgia" w:eastAsia="Georgia" w:hAnsi="Georgia"/>
          <w:b/>
          <w:bCs/>
          <w:color w:val="8A5A1B"/>
        </w:rPr>
        <w:t xml:space="preserve">Lab 6 — Mock Full Session and Commissioning  (alongside Weeks 12–13)</w:t>
      </w:r>
    </w:p>
    <w:p>
      <w:pPr>
        <w:spacing w:after="120" w:line="264"/>
      </w:pPr>
      <w:r>
        <w:rPr>
          <w:rFonts w:ascii="Georgia" w:cs="Georgia" w:eastAsia="Georgia" w:hAnsi="Georgia"/>
          <w:b/>
          <w:bCs/>
        </w:rPr>
        <w:t xml:space="preserve">Aim. </w:t>
      </w:r>
      <w:r>
        <w:rPr>
          <w:rFonts w:ascii="Georgia" w:cs="Georgia" w:eastAsia="Georgia" w:hAnsi="Georgia"/>
        </w:rPr>
        <w:t xml:space="preserve">Integrate everything; run a full leadable sequence; and be sent.</w:t>
      </w:r>
    </w:p>
    <w:p>
      <w:pPr>
        <w:spacing w:after="120" w:line="264"/>
      </w:pPr>
      <w:r>
        <w:rPr>
          <w:rFonts w:ascii="Georgia" w:cs="Georgia" w:eastAsia="Georgia" w:hAnsi="Georgia"/>
          <w:b/>
          <w:bCs/>
        </w:rPr>
        <w:t xml:space="preserve">What it builds. </w:t>
      </w:r>
      <w:r>
        <w:rPr>
          <w:rFonts w:ascii="Georgia" w:cs="Georgia" w:eastAsia="Georgia" w:hAnsi="Georgia"/>
        </w:rPr>
        <w:t xml:space="preserve">Integration; sending.</w:t>
      </w:r>
    </w:p>
    <w:p>
      <w:pPr>
        <w:spacing w:after="40"/>
      </w:pPr>
      <w:r>
        <w:rPr>
          <w:rFonts w:ascii="Georgia" w:cs="Georgia" w:eastAsia="Georgia" w:hAnsi="Georgia"/>
          <w:b/>
          <w:bCs/>
        </w:rPr>
        <w:t xml:space="preserve">The session.</w:t>
      </w:r>
    </w:p>
    <w:p>
      <w:pPr>
        <w:pStyle w:val="ListParagraph"/>
        <w:numPr>
          <w:ilvl w:val="0"/>
          <w:numId w:val="7"/>
        </w:numPr>
        <w:spacing w:after="80" w:line="264"/>
      </w:pPr>
      <w:r>
        <w:rPr>
          <w:rFonts w:ascii="Georgia" w:cs="Georgia" w:eastAsia="Georgia" w:hAnsi="Georgia"/>
          <w:b/>
          <w:bCs/>
        </w:rPr>
        <w:t xml:space="preserve">Open</w:t>
      </w:r>
      <w:r>
        <w:rPr>
          <w:rFonts w:ascii="Georgia" w:cs="Georgia" w:eastAsia="Georgia" w:hAnsi="Georgia"/>
        </w:rPr>
        <w:t xml:space="preserve"> — a senior leads it now.</w:t>
      </w:r>
    </w:p>
    <w:p>
      <w:pPr>
        <w:pStyle w:val="ListParagraph"/>
        <w:numPr>
          <w:ilvl w:val="0"/>
          <w:numId w:val="7"/>
        </w:numPr>
        <w:spacing w:after="80" w:line="264"/>
      </w:pPr>
      <w:r>
        <w:rPr>
          <w:rFonts w:ascii="Georgia" w:cs="Georgia" w:eastAsia="Georgia" w:hAnsi="Georgia"/>
          <w:b/>
          <w:bCs/>
        </w:rPr>
        <w:t xml:space="preserve">The mock session.</w:t>
      </w:r>
      <w:r>
        <w:rPr>
          <w:rFonts w:ascii="Georgia" w:cs="Georgia" w:eastAsia="Georgia" w:hAnsi="Georgia"/>
        </w:rPr>
        <w:t xml:space="preserve"> Each senior leads a full leadable sequence for the lab group — open, then a process of their choice, then close — with the Leader Feedback Round after.</w:t>
      </w:r>
    </w:p>
    <w:p>
      <w:pPr>
        <w:pStyle w:val="ListParagraph"/>
        <w:numPr>
          <w:ilvl w:val="0"/>
          <w:numId w:val="7"/>
        </w:numPr>
        <w:spacing w:after="80" w:line="264"/>
      </w:pPr>
      <w:r>
        <w:rPr>
          <w:rFonts w:ascii="Georgia" w:cs="Georgia" w:eastAsia="Georgia" w:hAnsi="Georgia"/>
          <w:b/>
          <w:bCs/>
        </w:rPr>
        <w:t xml:space="preserve">The road ahead.</w:t>
      </w:r>
      <w:r>
        <w:rPr>
          <w:rFonts w:ascii="Georgia" w:cs="Georgia" w:eastAsia="Georgia" w:hAnsi="Georgia"/>
        </w:rPr>
        <w:t xml:space="preserve"> FC1 is the floor. Going Deeper, Going Out, and Inviting Others are where it grows; the dorm is where it may one day stand on its own. Name honestly that this is a few years, not a finish line.</w:t>
      </w:r>
    </w:p>
    <w:p>
      <w:pPr>
        <w:pStyle w:val="ListParagraph"/>
        <w:numPr>
          <w:ilvl w:val="0"/>
          <w:numId w:val="7"/>
        </w:numPr>
        <w:spacing w:after="80" w:line="264"/>
      </w:pPr>
      <w:r>
        <w:rPr>
          <w:rFonts w:ascii="Georgia" w:cs="Georgia" w:eastAsia="Georgia" w:hAnsi="Georgia"/>
          <w:b/>
          <w:bCs/>
        </w:rPr>
        <w:t xml:space="preserve">Commissioning.</w:t>
      </w:r>
      <w:r>
        <w:rPr>
          <w:rFonts w:ascii="Georgia" w:cs="Georgia" w:eastAsia="Georgia" w:hAnsi="Georgia"/>
        </w:rPr>
        <w:t xml:space="preserve"> Pray over each senior. They are commissioned as FC1 at the cohort’s Week-13 Sending, in front of everyone — the same night the families are commissioned.</w:t>
      </w:r>
    </w:p>
    <w:p>
      <w:pPr>
        <w:pStyle w:val="ListParagraph"/>
        <w:numPr>
          <w:ilvl w:val="0"/>
          <w:numId w:val="7"/>
        </w:numPr>
        <w:spacing w:after="80" w:line="264"/>
      </w:pPr>
      <w:r>
        <w:rPr>
          <w:rFonts w:ascii="Georgia" w:cs="Georgia" w:eastAsia="Georgia" w:hAnsi="Georgia"/>
          <w:b/>
          <w:bCs/>
        </w:rPr>
        <w:t xml:space="preserve">Close.</w:t>
      </w:r>
    </w:p>
    <w:p>
      <w:pPr>
        <w:spacing w:after="120" w:line="264"/>
      </w:pPr>
      <w:r>
        <w:rPr>
          <w:rFonts w:ascii="Georgia" w:cs="Georgia" w:eastAsia="Georgia" w:hAnsi="Georgia"/>
          <w:b/>
          <w:bCs/>
        </w:rPr>
        <w:t xml:space="preserve">Take-home. </w:t>
      </w:r>
      <w:r>
        <w:rPr>
          <w:rFonts w:ascii="Georgia" w:cs="Georgia" w:eastAsia="Georgia" w:hAnsi="Georgia"/>
        </w:rPr>
        <w:t xml:space="preserve">Keep your own four-Connects rhythm going. You cannot lead from an empty well.</w:t>
      </w:r>
    </w:p>
    <w:p>
      <w:pPr>
        <w:pBdr>
          <w:bottom w:val="single" w:color="C9B892" w:sz="6" w:space="4"/>
        </w:pBdr>
        <w:spacing w:after="160" w:before="60"/>
      </w:pPr>
      <w:r>
        <w:rPr>
          <w:rFonts w:ascii="Georgia" w:cs="Georgia" w:eastAsia="Georgia" w:hAnsi="Georgia"/>
        </w:rPr>
        <w:t xml:space="preserve"/>
      </w:r>
    </w:p>
    <w:p>
      <w:pPr>
        <w:spacing w:after="120"/>
      </w:pPr>
      <w:r>
        <w:rPr>
          <w:rFonts w:ascii="Georgia" w:cs="Georgia" w:eastAsia="Georgia" w:hAnsi="Georgia"/>
          <w:b/>
          <w:bCs/>
          <w:i/>
          <w:iCs/>
        </w:rPr>
        <w:t xml:space="preserve">A last word for the adult who runs the Lab. </w:t>
      </w:r>
      <w:r>
        <w:rPr>
          <w:rFonts w:ascii="Georgia" w:cs="Georgia" w:eastAsia="Georgia" w:hAnsi="Georgia"/>
          <w:i/>
          <w:iCs/>
        </w:rPr>
        <w:t xml:space="preserve">Your job here is the same as everywhere in this work: prepare the ground and get out of the way. The seniors will lead better than you expect and be more nervous than they show. Praise specifically, correct gently, and never let them carry what is yours to carry. Send them out blessed.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Georgia" w:cs="Georgia" w:eastAsia="Georgia" w:hAnsi="Georgia"/>
      <w:b/>
      <w:bCs/>
      <w:color w:val="8A5A1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2026-07-03T00:51:59.100Z</dcterms:created>
  <dcterms:modified xsi:type="dcterms:W3CDTF">2026-07-03T00:51:59.101Z</dcterms:modified>
</cp:coreProperties>
</file>

<file path=docProps/custom.xml><?xml version="1.0" encoding="utf-8"?>
<Properties xmlns="http://schemas.openxmlformats.org/officeDocument/2006/custom-properties" xmlns:vt="http://schemas.openxmlformats.org/officeDocument/2006/docPropsVTypes"/>
</file>