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Xe138816266d7fc471286b7e8c1c818634426629"/>
    <w:p>
      <w:pPr>
        <w:pStyle w:val="Heading1"/>
      </w:pPr>
      <w:r>
        <w:t xml:space="preserve">Session 5, Evening Form — Knowing and Being Known</w:t>
      </w:r>
    </w:p>
    <w:p>
      <w:pPr>
        <w:pStyle w:val="FirstParagraph"/>
      </w:pPr>
      <w:r>
        <w:rPr>
          <w:b/>
          <w:bCs/>
        </w:rPr>
        <w:t xml:space="preserve">For the night the prototype group picks its thread back up, whenever the</w:t>
      </w:r>
      <w:r>
        <w:rPr>
          <w:b/>
          <w:bCs/>
        </w:rPr>
        <w:t xml:space="preserve"> </w:t>
      </w:r>
      <w:r>
        <w:rPr>
          <w:b/>
          <w:bCs/>
        </w:rPr>
        <w:t xml:space="preserve">sequence brings it. Companion to</w:t>
      </w:r>
      <w:r>
        <w:rPr>
          <w:b/>
          <w:bCs/>
        </w:rPr>
        <w:t xml:space="preserve"> </w:t>
      </w:r>
      <w:r>
        <w:rPr>
          <w:rStyle w:val="VerbatimChar"/>
          <w:b/>
          <w:bCs/>
        </w:rPr>
        <w:t xml:space="preserve">docs/getting-started/week-05-known.md</w:t>
      </w:r>
      <w:r>
        <w:rPr>
          <w:b/>
          <w:bCs/>
        </w:rPr>
        <w:t xml:space="preserve">,</w:t>
      </w:r>
      <w:r>
        <w:rPr>
          <w:b/>
          <w:bCs/>
        </w:rPr>
        <w:t xml:space="preserve"> </w:t>
      </w:r>
      <w:r>
        <w:rPr>
          <w:b/>
          <w:bCs/>
        </w:rPr>
        <w:t xml:space="preserve">which keeps the full scripts and notes; this sheet carries what the evening</w:t>
      </w:r>
      <w:r>
        <w:rPr>
          <w:b/>
          <w:bCs/>
        </w:rPr>
        <w:t xml:space="preserve"> </w:t>
      </w:r>
      <w:r>
        <w:rPr>
          <w:b/>
          <w:bCs/>
        </w:rPr>
        <w:t xml:space="preserve">changes.</w:t>
      </w:r>
    </w:p>
    <w:p>
      <w:pPr>
        <w:pStyle w:val="BodyText"/>
      </w:pPr>
      <w:r>
        <w:rPr>
          <w:b/>
          <w:bCs/>
        </w:rPr>
        <w:t xml:space="preserve">Aim (unchanged).</w:t>
      </w:r>
      <w:r>
        <w:t xml:space="preserve"> </w:t>
      </w:r>
      <w:r>
        <w:t xml:space="preserve">Move from Self into Others as the dominant Connect. The</w:t>
      </w:r>
      <w:r>
        <w:t xml:space="preserve"> </w:t>
      </w:r>
      <w:r>
        <w:t xml:space="preserve">container we have been building is the teacher: what makes this room</w:t>
      </w:r>
      <w:r>
        <w:t xml:space="preserve"> </w:t>
      </w:r>
      <w:r>
        <w:t xml:space="preserve">different from the rest of life, and where do those conditions show up, or</w:t>
      </w:r>
      <w:r>
        <w:t xml:space="preserve"> </w:t>
      </w:r>
      <w:r>
        <w:t xml:space="preserve">not, in our actual friendships?</w:t>
      </w:r>
    </w:p>
    <w:p>
      <w:pPr>
        <w:pStyle w:val="BodyText"/>
      </w:pPr>
      <w:r>
        <w:rPr>
          <w:b/>
          <w:bCs/>
        </w:rPr>
        <w:t xml:space="preserve">Anchor.</w:t>
      </w:r>
      <w:r>
        <w:t xml:space="preserve"> </w:t>
      </w:r>
      <w:r>
        <w:t xml:space="preserve">Ecclesiastes 4:9-12.</w:t>
      </w:r>
    </w:p>
    <w:bookmarkStart w:id="9" w:name="what-the-evening-form-changes"/>
    <w:p>
      <w:pPr>
        <w:pStyle w:val="Heading2"/>
      </w:pPr>
      <w:r>
        <w:t xml:space="preserve">What the evening form changes</w:t>
      </w:r>
    </w:p>
    <w:p>
      <w:pPr>
        <w:pStyle w:val="Compact"/>
        <w:numPr>
          <w:ilvl w:val="0"/>
          <w:numId w:val="1001"/>
        </w:numPr>
      </w:pPr>
      <w:r>
        <w:rPr>
          <w:b/>
          <w:bCs/>
        </w:rPr>
        <w:t xml:space="preserve">The check-in carries more.</w:t>
      </w:r>
      <w:r>
        <w:t xml:space="preserve"> </w:t>
      </w:r>
      <w:r>
        <w:t xml:space="preserve">If this is the group’s first evening back,</w:t>
      </w:r>
      <w:r>
        <w:t xml:space="preserve"> </w:t>
      </w:r>
      <w:r>
        <w:t xml:space="preserve">the check-in acknowledges the gap honestly (what survived the pause is</w:t>
      </w:r>
      <w:r>
        <w:t xml:space="preserve"> </w:t>
      </w:r>
      <w:r>
        <w:t xml:space="preserve">data, not failure); on an ordinary cycle it carries two weeks of practice</w:t>
      </w:r>
      <w:r>
        <w:t xml:space="preserve"> </w:t>
      </w:r>
      <w:r>
        <w:t xml:space="preserve">and the end-of-week-one check-in reports.</w:t>
      </w:r>
    </w:p>
    <w:p>
      <w:pPr>
        <w:pStyle w:val="Compact"/>
        <w:numPr>
          <w:ilvl w:val="0"/>
          <w:numId w:val="1001"/>
        </w:numPr>
      </w:pPr>
      <w:r>
        <w:rPr>
          <w:b/>
          <w:bCs/>
        </w:rPr>
        <w:t xml:space="preserve">The teaching is the container holder’s own charge.</w:t>
      </w:r>
      <w:r>
        <w:t xml:space="preserve"> </w:t>
      </w:r>
      <w:r>
        <w:t xml:space="preserve">The four</w:t>
      </w:r>
      <w:r>
        <w:t xml:space="preserve"> </w:t>
      </w:r>
      <w:r>
        <w:t xml:space="preserve">conditions are the very things the container holder carries (safety and</w:t>
      </w:r>
      <w:r>
        <w:t xml:space="preserve"> </w:t>
      </w:r>
      <w:r>
        <w:t xml:space="preserve">warmth, presence, clear and intentional). The content presenter teaches</w:t>
      </w:r>
      <w:r>
        <w:t xml:space="preserve"> </w:t>
      </w:r>
      <w:r>
        <w:t xml:space="preserve">them; the container holder embodies them in real time. The room gets the</w:t>
      </w:r>
      <w:r>
        <w:t xml:space="preserve"> </w:t>
      </w:r>
      <w:r>
        <w:t xml:space="preserve">lesson twice.</w:t>
      </w:r>
    </w:p>
    <w:p>
      <w:pPr>
        <w:pStyle w:val="Compact"/>
        <w:numPr>
          <w:ilvl w:val="0"/>
          <w:numId w:val="1001"/>
        </w:numPr>
      </w:pPr>
      <w:r>
        <w:rPr>
          <w:b/>
          <w:bCs/>
        </w:rPr>
        <w:t xml:space="preserve">Clusters at home scale.</w:t>
      </w:r>
      <w:r>
        <w:t xml:space="preserve"> </w:t>
      </w:r>
      <w:r>
        <w:t xml:space="preserve">The school version splits into family</w:t>
      </w:r>
      <w:r>
        <w:t xml:space="preserve"> </w:t>
      </w:r>
      <w:r>
        <w:t xml:space="preserve">clusters; at this table the split is parent pair and teen pair (or one</w:t>
      </w:r>
      <w:r>
        <w:t xml:space="preserve"> </w:t>
      </w:r>
      <w:r>
        <w:t xml:space="preserve">circle if the room is small enough to stay honest).</w:t>
      </w:r>
    </w:p>
    <w:p>
      <w:pPr>
        <w:pStyle w:val="Compact"/>
        <w:numPr>
          <w:ilvl w:val="0"/>
          <w:numId w:val="1001"/>
        </w:numPr>
      </w:pPr>
      <w:r>
        <w:rPr>
          <w:b/>
          <w:bCs/>
        </w:rPr>
        <w:t>The evening opens on the map.</w:t>
      </w:r>
      <w:r>
        <w:t xml:space="preserve"> The Four Connects grounding slide now opens every session — the first four weeks were Connect with Self; tonight stands in the second box, Connect with Others. The four conditions of friendship are how connecting with others deepens into loving others (Matt. 22:37–40).</w:t>
      </w:r>
    </w:p>
    <w:p>
      <w:pPr>
        <w:pStyle w:val="Compact"/>
        <w:numPr>
          <w:ilvl w:val="0"/>
          <w:numId w:val="1001"/>
        </w:numPr>
      </w:pPr>
      <w:r>
        <w:rPr>
          <w:b/>
          <w:bCs/>
        </w:rPr>
        <w:t>A pair leads, visibly.</w:t>
      </w:r>
      <w:r>
        <w:t xml:space="preserve"> Name it in the welcome: two leaders hold tonight — container and content — and the room will see the evening handed back and forth between them. That is the design. The pair practices the session together before the evening (at the planning lab, or before dinner), so each knows who is where in the flow.</w:t>
      </w:r>
    </w:p>
    <w:p>
      <w:pPr>
        <w:pStyle w:val="Compact"/>
        <w:numPr>
          <w:ilvl w:val="0"/>
          <w:numId w:val="1001"/>
        </w:numPr>
      </w:pPr>
      <w:r>
        <w:rPr>
          <w:b/>
          <w:bCs/>
        </w:rPr>
        <w:t>Split only if the room needs it.</w:t>
      </w:r>
      <w:r>
        <w:t xml:space="preserve"> The mapping block’s split-and-merge assumes numbers. With six or so around the table, stay one circle — or drop into quick pair work in place, knee to knee, which does the same work faster. Pair work is also the standing time-recovery lever: a full split-and-merge costs about five minutes. (The 9/15 running finished ten minutes early without a split.)</w:t>
      </w:r>
    </w:p>
    <w:p>
      <w:pPr>
        <w:pStyle w:val="Compact"/>
        <w:numPr>
          <w:ilvl w:val="0"/>
          <w:numId w:val="1001"/>
        </w:numPr>
      </w:pPr>
      <w:r>
        <w:rPr>
          <w:b/>
          <w:bCs/>
        </w:rPr>
        <w:t>The container holder is the busier seat.</w:t>
      </w:r>
      <w:r>
        <w:t xml:space="preserve"> Clock and room both: a continuous read against safe, present, clear, intentional — noticing anyone triggered or checked out. Anything of weight goes to the backstop adult; that handoff is the bright line working, not the container failing.</w:t>
      </w:r>
    </w:p>
    <w:bookmarkEnd w:id="9"/>
    <w:bookmarkStart w:id="10" w:name="the-run-sheet-700-830"/>
    <w:p>
      <w:pPr>
        <w:pStyle w:val="Heading2"/>
      </w:pPr>
      <w:r>
        <w:t xml:space="preserve">The run sheet (7:00-8:30)</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Time</w:t>
            </w:r>
          </w:p>
        </w:tc>
        <w:tc>
          <w:tcPr/>
          <w:p>
            <w:pPr>
              <w:pStyle w:val="Compact"/>
            </w:pPr>
            <w:r>
              <w:t xml:space="preserve">Block</w:t>
            </w:r>
          </w:p>
        </w:tc>
        <w:tc>
          <w:tcPr/>
          <w:p>
            <w:pPr>
              <w:pStyle w:val="Compact"/>
            </w:pPr>
            <w:r>
              <w:t xml:space="preserve">Lead</w:t>
            </w:r>
          </w:p>
        </w:tc>
      </w:tr>
      <w:tr>
        <w:tc>
          <w:tcPr/>
          <w:p>
            <w:pPr>
              <w:pStyle w:val="Compact"/>
            </w:pPr>
            <w:r>
              <w:t xml:space="preserve">6:00</w:t>
            </w:r>
          </w:p>
        </w:tc>
        <w:tc>
          <w:tcPr/>
          <w:p>
            <w:pPr>
              <w:pStyle w:val="Compact"/>
            </w:pPr>
            <w:r>
              <w:t xml:space="preserve">Dinner; leading team’s walk-through at the table’s edge if needed.</w:t>
            </w:r>
          </w:p>
        </w:tc>
        <w:tc>
          <w:tcPr/>
          <w:p>
            <w:pPr>
              <w:pStyle w:val="Compact"/>
            </w:pPr>
            <w:r>
              <w:t xml:space="preserve">Household</w:t>
            </w:r>
          </w:p>
        </w:tc>
      </w:tr>
      <w:tr>
        <w:tc>
          <w:tcPr/>
          <w:p>
            <w:pPr>
              <w:pStyle w:val="Compact"/>
            </w:pPr>
            <w:r>
              <w:t xml:space="preserve">7:00-7:08</w:t>
            </w:r>
          </w:p>
        </w:tc>
        <w:tc>
          <w:tcPr/>
          <w:p>
            <w:pPr>
              <w:pStyle w:val="Compact"/>
            </w:pPr>
            <w:r>
              <w:t xml:space="preserve">Welcome and centering; blessing; container reminder; frame the evening.</w:t>
            </w:r>
          </w:p>
        </w:tc>
        <w:tc>
          <w:tcPr/>
          <w:p>
            <w:pPr>
              <w:pStyle w:val="Compact"/>
            </w:pPr>
            <w:r>
              <w:t xml:space="preserve">Container holder</w:t>
            </w:r>
          </w:p>
        </w:tc>
      </w:tr>
      <w:tr>
        <w:tc>
          <w:tcPr/>
          <w:p>
            <w:pPr>
              <w:pStyle w:val="Compact"/>
            </w:pPr>
            <w:r>
              <w:t xml:space="preserve">7:08-7:25</w:t>
            </w:r>
          </w:p>
        </w:tc>
        <w:tc>
          <w:tcPr/>
          <w:p>
            <w:pPr>
              <w:pStyle w:val="Compact"/>
            </w:pPr>
            <w:r>
              <w:t xml:space="preserve">Check-in circle: two weeks (or the long pause) reported; week-one check-ins debriefed. One-sentence shares, a parent starts the sharing.</w:t>
            </w:r>
          </w:p>
        </w:tc>
        <w:tc>
          <w:tcPr/>
          <w:p>
            <w:pPr>
              <w:pStyle w:val="Compact"/>
            </w:pPr>
            <w:r>
              <w:t xml:space="preserve">Container holder</w:t>
            </w:r>
          </w:p>
        </w:tc>
      </w:tr>
      <w:tr>
        <w:tc>
          <w:tcPr/>
          <w:p>
            <w:pPr>
              <w:pStyle w:val="Compact"/>
            </w:pPr>
            <w:r>
              <w:t xml:space="preserve">7:25-7:42</w:t>
            </w:r>
          </w:p>
        </w:tc>
        <w:tc>
          <w:tcPr/>
          <w:p>
            <w:pPr>
              <w:pStyle w:val="Compact"/>
            </w:pPr>
            <w:r>
              <w:t xml:space="preserve">The four conditions, taught: Ecclesiastes 4:9-12 read aloud; walk Safe, Present, Clear, Intentional.</w:t>
            </w:r>
          </w:p>
        </w:tc>
        <w:tc>
          <w:tcPr/>
          <w:p>
            <w:pPr>
              <w:pStyle w:val="Compact"/>
            </w:pPr>
            <w:r>
              <w:t xml:space="preserve">Content presenter</w:t>
            </w:r>
          </w:p>
        </w:tc>
      </w:tr>
      <w:tr>
        <w:tc>
          <w:tcPr/>
          <w:p>
            <w:pPr>
              <w:pStyle w:val="Compact"/>
            </w:pPr>
            <w:r>
              <w:t xml:space="preserve">7:42-8:08</w:t>
            </w:r>
          </w:p>
        </w:tc>
        <w:tc>
          <w:tcPr/>
          <w:p>
            <w:pPr>
              <w:pStyle w:val="Compact"/>
            </w:pPr>
            <w:r>
              <w:t xml:space="preserve">Friendship mapping: each person works the four conditions through their real friendships, in pairs; then pairs share what they choose.</w:t>
            </w:r>
          </w:p>
        </w:tc>
        <w:tc>
          <w:tcPr/>
          <w:p>
            <w:pPr>
              <w:pStyle w:val="Compact"/>
            </w:pPr>
            <w:r>
              <w:t xml:space="preserve">Content presenter, container holder watching the room</w:t>
            </w:r>
          </w:p>
        </w:tc>
      </w:tr>
      <w:tr>
        <w:tc>
          <w:tcPr/>
          <w:p>
            <w:pPr>
              <w:pStyle w:val="Compact"/>
            </w:pPr>
            <w:r>
              <w:t xml:space="preserve">8:08-8:20</w:t>
            </w:r>
          </w:p>
        </w:tc>
        <w:tc>
          <w:tcPr/>
          <w:p>
            <w:pPr>
              <w:pStyle w:val="Compact"/>
            </w:pPr>
            <w:r>
              <w:t xml:space="preserve">Shared circle: common patterns surfaced, no names. Parents first.</w:t>
            </w:r>
          </w:p>
        </w:tc>
        <w:tc>
          <w:tcPr/>
          <w:p>
            <w:pPr>
              <w:pStyle w:val="Compact"/>
            </w:pPr>
            <w:r>
              <w:t xml:space="preserve">Container holder</w:t>
            </w:r>
          </w:p>
        </w:tc>
      </w:tr>
      <w:tr>
        <w:tc>
          <w:tcPr/>
          <w:p>
            <w:pPr>
              <w:pStyle w:val="Compact"/>
            </w:pPr>
            <w:r>
              <w:t xml:space="preserve">8:20-8:24</w:t>
            </w:r>
          </w:p>
        </w:tc>
        <w:tc>
          <w:tcPr/>
          <w:p>
            <w:pPr>
              <w:pStyle w:val="Compact"/>
            </w:pPr>
            <w:r>
              <w:t xml:space="preserve">Homework commissioning: the four-part handout walked; check-in partners named aloud.</w:t>
            </w:r>
          </w:p>
        </w:tc>
        <w:tc>
          <w:tcPr/>
          <w:p>
            <w:pPr>
              <w:pStyle w:val="Compact"/>
            </w:pPr>
            <w:r>
              <w:t xml:space="preserve">Content presenter</w:t>
            </w:r>
          </w:p>
        </w:tc>
      </w:tr>
      <w:tr>
        <w:tc>
          <w:tcPr/>
          <w:p>
            <w:pPr>
              <w:pStyle w:val="Compact"/>
            </w:pPr>
            <w:r>
              <w:t xml:space="preserve">8:24-8:28</w:t>
            </w:r>
          </w:p>
        </w:tc>
        <w:tc>
          <w:tcPr/>
          <w:p>
            <w:pPr>
              <w:pStyle w:val="Compact"/>
            </w:pPr>
            <w:r>
              <w:t xml:space="preserve">Leader Feedback Round, both leaders: what went well, what I would do differently, the teach-back.</w:t>
            </w:r>
          </w:p>
        </w:tc>
        <w:tc>
          <w:tcPr/>
          <w:p>
            <w:pPr>
              <w:pStyle w:val="Compact"/>
            </w:pPr>
            <w:r>
              <w:t xml:space="preserve">Both leaders</w:t>
            </w:r>
          </w:p>
        </w:tc>
      </w:tr>
      <w:tr>
        <w:tc>
          <w:tcPr/>
          <w:p>
            <w:pPr>
              <w:pStyle w:val="Compact"/>
            </w:pPr>
            <w:r>
              <w:t xml:space="preserve">8:28-8:30</w:t>
            </w:r>
          </w:p>
        </w:tc>
        <w:tc>
          <w:tcPr/>
          <w:p>
            <w:pPr>
              <w:pStyle w:val="Compact"/>
            </w:pPr>
            <w:r>
              <w:t xml:space="preserve">Closing container reaffirmed; Aaronic blessing.</w:t>
            </w:r>
          </w:p>
        </w:tc>
        <w:tc>
          <w:tcPr/>
          <w:p>
            <w:pPr>
              <w:pStyle w:val="Compact"/>
            </w:pPr>
            <w:r>
              <w:t xml:space="preserve">Container holder</w:t>
            </w:r>
          </w:p>
        </w:tc>
      </w:tr>
      <w:tr>
        <w:tc>
          <w:tcPr/>
          <w:p>
            <w:pPr>
              <w:pStyle w:val="Compact"/>
            </w:pPr>
            <w:r>
              <w:t xml:space="preserve">8:30-9:00</w:t>
            </w:r>
          </w:p>
        </w:tc>
        <w:tc>
          <w:tcPr/>
          <w:p>
            <w:pPr>
              <w:pStyle w:val="Compact"/>
            </w:pPr>
            <w:r>
              <w:t xml:space="preserve">Fellowship; the room’s feedback to the leaders; the five-question materials debrief; planning the next meeting.</w:t>
            </w:r>
          </w:p>
        </w:tc>
        <w:tc>
          <w:tcPr/>
          <w:p>
            <w:pPr>
              <w:pStyle w:val="Compact"/>
            </w:pPr>
            <w:r>
              <w:t xml:space="preserve">Everyone; John holds the debrief</w:t>
            </w:r>
          </w:p>
        </w:tc>
      </w:tr>
    </w:tbl>
    <w:bookmarkEnd w:id="10"/>
    <w:bookmarkStart w:id="11" w:name="the-homework-handout-session-5-two-weeks"/>
    <w:p>
      <w:pPr>
        <w:pStyle w:val="Heading2"/>
      </w:pPr>
      <w:r>
        <w:t xml:space="preserve">The homework handout (Session 5, two weeks)</w:t>
      </w:r>
    </w:p>
    <w:p>
      <w:pPr>
        <w:pStyle w:val="Compact"/>
        <w:numPr>
          <w:ilvl w:val="0"/>
          <w:numId w:val="1002"/>
        </w:numPr>
      </w:pPr>
      <w:r>
        <w:rPr>
          <w:b/>
          <w:bCs/>
        </w:rPr>
        <w:t>The homework practice, week one.</w:t>
      </w:r>
      <w:r>
        <w:t xml:space="preserve"> </w:t>
      </w:r>
      <w:r>
        <w:t xml:space="preserve">Pick one friendship in your life. Pick one of</w:t>
      </w:r>
      <w:r>
        <w:t xml:space="preserve"> </w:t>
      </w:r>
      <w:r>
        <w:t xml:space="preserve">the four conditions. Practice it in that friendship more intentionally</w:t>
      </w:r>
      <w:r>
        <w:t xml:space="preserve"> </w:t>
      </w:r>
      <w:r>
        <w:t xml:space="preserve">than usual. Journal what happens.</w:t>
      </w:r>
    </w:p>
    <w:p>
      <w:pPr>
        <w:pStyle w:val="Compact"/>
        <w:numPr>
          <w:ilvl w:val="0"/>
          <w:numId w:val="1002"/>
        </w:numPr>
      </w:pPr>
      <w:r>
        <w:rPr>
          <w:b/>
          <w:bCs/>
        </w:rPr>
        <w:t xml:space="preserve">The end-of-week-one check-in.</w:t>
      </w:r>
      <w:r>
        <w:t xml:space="preserve"> </w:t>
      </w:r>
      <w:r>
        <w:t xml:space="preserve">At the end of week one, connect with the</w:t>
      </w:r>
      <w:r>
        <w:t xml:space="preserve"> </w:t>
      </w:r>
      <w:r>
        <w:t xml:space="preserve">partner you named at commissioning and report how it’s going against the</w:t>
      </w:r>
      <w:r>
        <w:t xml:space="preserve"> </w:t>
      </w:r>
      <w:r>
        <w:t xml:space="preserve">practice.</w:t>
      </w:r>
    </w:p>
    <w:p>
      <w:pPr>
        <w:pStyle w:val="Compact"/>
        <w:numPr>
          <w:ilvl w:val="0"/>
          <w:numId w:val="1002"/>
        </w:numPr>
      </w:pPr>
      <w:r>
        <w:rPr>
          <w:b/>
          <w:bCs/>
        </w:rPr>
        <w:t>The homework practice, week two.</w:t>
      </w:r>
      <w:r>
        <w:t xml:space="preserve"> </w:t>
      </w:r>
      <w:r>
        <w:t xml:space="preserve">Same friendship, second condition — or the</w:t>
      </w:r>
      <w:r>
        <w:t xml:space="preserve"> </w:t>
      </w:r>
      <w:r>
        <w:t xml:space="preserve">same condition, deeper, if the first week opened something. Journal what</w:t>
      </w:r>
      <w:r>
        <w:t xml:space="preserve"> </w:t>
      </w:r>
      <w:r>
        <w:t xml:space="preserve">happens.</w:t>
      </w:r>
    </w:p>
    <w:p>
      <w:pPr>
        <w:pStyle w:val="Compact"/>
        <w:numPr>
          <w:ilvl w:val="0"/>
          <w:numId w:val="1002"/>
        </w:numPr>
      </w:pPr>
      <w:r>
        <w:rPr>
          <w:b/>
          <w:bCs/>
        </w:rPr>
        <w:t xml:space="preserve">One sentence of preparation.</w:t>
      </w:r>
      <w:r>
        <w:t xml:space="preserve"> </w:t>
      </w:r>
      <w:r>
        <w:t xml:space="preserve">Before we meet, finish this sentence in</w:t>
      </w:r>
      <w:r>
        <w:t xml:space="preserve"> </w:t>
      </w:r>
      <w:r>
        <w:t xml:space="preserve">your journal:</w:t>
      </w:r>
      <w:r>
        <w:t xml:space="preserve"> </w:t>
      </w:r>
      <w:r>
        <w:t xml:space="preserve">“The condition my friendships need most from me is</w:t>
      </w:r>
      <w:r>
        <w:t xml:space="preserve"> </w:t>
      </w:r>
      <w:r>
        <w:t xml:space="preserve">________.”</w:t>
      </w:r>
    </w:p>
    <w:p>
      <w:pPr>
        <w:pStyle w:val="FirstParagraph"/>
      </w:pPr>
      <w:r>
        <w:rPr>
          <w:i/>
          <w:iCs/>
        </w:rPr>
        <w:t xml:space="preserve">The journal’s standing closer applies: if I were to teach this practice to</w:t>
      </w:r>
      <w:r>
        <w:rPr>
          <w:i/>
          <w:iCs/>
        </w:rPr>
        <w:t xml:space="preserve"> </w:t>
      </w:r>
      <w:r>
        <w:rPr>
          <w:i/>
          <w:iCs/>
        </w:rPr>
        <w:t xml:space="preserve">someone, what would I tell them?</w:t>
      </w:r>
    </w:p>
    <w:bookmarkEnd w:id="11"/>
    <w:bookmarkStart w:id="12" w:name="watch-fors-evening-additions"/>
    <w:p>
      <w:pPr>
        <w:pStyle w:val="Heading2"/>
      </w:pPr>
      <w:r>
        <w:t xml:space="preserve">Watch-fors, evening additions</w:t>
      </w:r>
    </w:p>
    <w:p>
      <w:pPr>
        <w:pStyle w:val="FirstParagraph"/>
      </w:pPr>
      <w:r>
        <w:t xml:space="preserve">The school version’s watch-fors stand. Two more:</w:t>
      </w:r>
    </w:p>
    <w:p>
      <w:pPr>
        <w:pStyle w:val="Compact"/>
        <w:numPr>
          <w:ilvl w:val="0"/>
          <w:numId w:val="1003"/>
        </w:numPr>
      </w:pPr>
      <w:r>
        <w:rPr>
          <w:b/>
          <w:bCs/>
        </w:rPr>
        <w:t xml:space="preserve">Friendship material can carry weight</w:t>
      </w:r>
      <w:r>
        <w:t xml:space="preserve"> </w:t>
      </w:r>
      <w:r>
        <w:t xml:space="preserve">(the friend who left, the</w:t>
      </w:r>
      <w:r>
        <w:t xml:space="preserve"> </w:t>
      </w:r>
      <w:r>
        <w:t xml:space="preserve">betrayal, the loneliness). The backstop adult stays attentive through the</w:t>
      </w:r>
      <w:r>
        <w:t xml:space="preserve"> </w:t>
      </w:r>
      <w:r>
        <w:t xml:space="preserve">mapping block; anything heavy hands off per the leader’s guidelines previously discussed.</w:t>
      </w:r>
    </w:p>
    <w:p>
      <w:pPr>
        <w:pStyle w:val="Compact"/>
        <w:numPr>
          <w:ilvl w:val="0"/>
          <w:numId w:val="1003"/>
        </w:numPr>
      </w:pPr>
      <w:r>
        <w:rPr>
          <w:b/>
          <w:bCs/>
        </w:rPr>
        <w:t xml:space="preserve">The pause-gap comparison.</w:t>
      </w:r>
      <w:r>
        <w:t xml:space="preserve"> </w:t>
      </w:r>
      <w:r>
        <w:t xml:space="preserve">If this follows a long break, resist letting</w:t>
      </w:r>
      <w:r>
        <w:t xml:space="preserve"> </w:t>
      </w:r>
      <w:r>
        <w:t xml:space="preserve">the check-in become a referendum on faithfulness. What survived the break</w:t>
      </w:r>
      <w:r>
        <w:t xml:space="preserve"> </w:t>
      </w:r>
      <w:r>
        <w:t xml:space="preserve">is the finding; shame is not on the agenda.</w:t>
      </w:r>
    </w:p>
    <w:bookmarkEnd w:id="12"/>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2026-09-09T17:07:35Z</dcterms:created>
  <dcterms:modified xsi:type="dcterms:W3CDTF">2026-09-09T17:07:35Z</dcterms:modified>
</cp:coreProperties>
</file>

<file path=docProps/custom.xml><?xml version="1.0" encoding="utf-8"?>
<Properties xmlns="http://schemas.openxmlformats.org/officeDocument/2006/custom-properties" xmlns:vt="http://schemas.openxmlformats.org/officeDocument/2006/docPropsVTypes"/>
</file>