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d0677cc7ba7efcf3a3ba5dcedf14c56bc3a2e7"/>
    <w:p>
      <w:pPr>
        <w:pStyle w:val="Heading1"/>
      </w:pPr>
      <w:r>
        <w:t xml:space="preserve">Take-Home Sheet — Session 19: Second Running: Block B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 xml:space="preserve">1. The practice — week one</w:t>
      </w:r>
    </w:p>
    <w:p>
      <w:pPr>
        <w:pStyle w:val="FirstParagraph"/>
      </w:pPr>
      <w:r>
        <w:t xml:space="preserve">Both cards go home tonight, one set per participant folder. Each family finds them this week and puts them somewhere findable — a drawer everyone knows, the inside of a cabinet door, the family Bible. The point of these two cards is that they gather dust in a known location, because the person who eventually needs them will not be in a room like this when they do.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 xml:space="preserve">3. The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2026-09-09T21:53:44Z</dcterms:created>
  <dcterms:modified xsi:type="dcterms:W3CDTF">2026-09-09T21:53:44Z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