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aa10258b4fc87f11f21de67e92df6074b70695"/>
    <w:p>
      <w:pPr>
        <w:pStyle w:val="Heading1"/>
      </w:pPr>
      <w:r>
        <w:t xml:space="preserve">Take-Home Sheet — Session 22: Commissioning the Companions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For the new FC1s: the Leader Lab rhythm begins — bring one vital-signs observation from tonight’s room to Lab 1 of the serving cycle. For everyone: the Rhythm Card and the Going Deeper interlude practices.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