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b42da56b64e9f9eed04eaede78dfc33544c2047"/>
    <w:p>
      <w:pPr>
        <w:pStyle w:val="Heading1"/>
      </w:pPr>
      <w:r>
        <w:t xml:space="preserve">Take-Home Sheet — Session 4: Telling your Story Ii</w:t>
      </w:r>
    </w:p>
    <w:p>
      <w:r>
        <w:pict>
          <v:rect style="width:0;height:1.5pt" o:hralign="center" o:hrstd="t" o:hr="t"/>
        </w:pict>
      </w:r>
    </w:p>
    <w:p>
      <w:pPr>
        <w:spacing w:after="140"/>
      </w:pPr>
      <w:r>
        <w:rPr>
          <w:b/>
          <w:bCs/>
        </w:rPr>
        <w:t xml:space="preserve">The standing practice — every day, both weeks. </w:t>
      </w:r>
      <w:r>
        <w:t xml:space="preserve">Morning, five minutes: “Lord, what are you up to today, and what do you want me to notice?” Evening, one journal line: “What did I notice today?”</w:t>
      </w:r>
    </w:p>
    <w:p>
      <w:pPr>
        <w:spacing w:after="140"/>
      </w:pPr>
      <w:r>
        <w:rPr>
          <w:b/>
          <w:bCs/>
        </w:rPr>
        <w:t xml:space="preserve">Week 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b/>
          <w:bCs/>
        </w:rPr>
        <w:t xml:space="preserve">Week 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One box per day. A missed box is never a failure — it is an invitation to return.</w:t>
      </w:r>
    </w:p>
    <w:bookmarkStart w:id="9" w:name="the-practice-week-one"/>
    <w:p>
      <w:pPr>
        <w:pStyle w:val="Heading2"/>
      </w:pPr>
      <w:r>
        <w:t xml:space="preserve">1. The practice — week one</w:t>
      </w:r>
    </w:p>
    <w:p>
      <w:pPr>
        <w:pStyle w:val="FirstParagraph"/>
      </w:pPr>
      <w:r>
        <w:t xml:space="preserve">Every family that has not yet done the Joint Footprints exercise from Week 3 does it this week. Everyone continues the morning question and the evening journal note.</w:t>
      </w:r>
    </w:p>
    <w:bookmarkEnd w:id="9"/>
    <w:bookmarkStart w:id="10" w:name="the-end-of-week-one-check-in"/>
    <w:p>
      <w:pPr>
        <w:pStyle w:val="Heading2"/>
      </w:pPr>
      <w:r>
        <w:t xml:space="preserve">2. The end-of-week-one check-in</w:t>
      </w:r>
    </w:p>
    <w:p>
      <w:pPr>
        <w:pStyle w:val="FirstParagraph"/>
      </w:pPr>
      <w:r>
        <w:t xml:space="preserve">My check-in partner for this cycle is:</w:t>
      </w:r>
      <w:r>
        <w:t xml:space="preserve">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</w:pPr>
      <w:r>
        <w:t xml:space="preserve">At the end of week one, connect with your partner and report how it’s going</w:t>
      </w:r>
      <w:r>
        <w:t xml:space="preserve"> </w:t>
      </w:r>
      <w:r>
        <w:t xml:space="preserve">against the practice. A text, a call, or a hallway conversation all count.</w:t>
      </w:r>
      <w:r>
        <w:t xml:space="preserve"> </w:t>
      </w:r>
      <w:r>
        <w:t xml:space="preserve">You are not grading each other; you are expecting each other.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0"/>
    <w:bookmarkStart w:id="11" w:name="the-practice-week-two"/>
    <w:p>
      <w:pPr>
        <w:pStyle w:val="Heading2"/>
      </w:pPr>
      <w:r>
        <w:t xml:space="preserve">3. The practice — week two</w:t>
      </w:r>
    </w:p>
    <w:p>
      <w:pPr>
        <w:pStyle w:val="FirstParagraph"/>
      </w:pPr>
      <w:r>
        <w:t xml:space="preserve">Continue or deepen the same practice, as the session specifies; journal</w:t>
      </w:r>
      <w:r>
        <w:t xml:space="preserve"> </w:t>
      </w:r>
      <w:r>
        <w:t xml:space="preserve">what happens.</w:t>
      </w:r>
    </w:p>
    <w:bookmarkEnd w:id="11"/>
    <w:bookmarkStart w:id="12" w:name="one-sentence-of-preparation"/>
    <w:p>
      <w:pPr>
        <w:pStyle w:val="Heading2"/>
      </w:pPr>
      <w:r>
        <w:t xml:space="preserve">4. One sentence of preparation</w:t>
      </w:r>
    </w:p>
    <w:p>
      <w:pPr>
        <w:pStyle w:val="FirstParagraph"/>
      </w:pPr>
      <w:r>
        <w:t xml:space="preserve">Set at commissioning from the session’s materials.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2026-09-09T21:53:41Z</dcterms:created>
  <dcterms:modified xsi:type="dcterms:W3CDTF">2026-09-09T21:53:41Z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