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1-evening-form-any-doubts"/>
    <w:p>
      <w:pPr>
        <w:pStyle w:val="Heading1"/>
      </w:pPr>
      <w:r>
        <w:t>Evening 8 — ANY DOUBTS?</w:t>
      </w:r>
    </w:p>
    <w:p>
      <w:pPr>
        <w:pStyle w:val="FirstParagraph"/>
      </w:pPr>
      <w:r>
        <w:rPr>
          <w:b/>
          <w:bCs/>
        </w:rPr>
        <w:t xml:space="preserve">AUTO-ADAPTED DRAFT from</w:t>
      </w:r>
      <w:r>
        <w:rPr>
          <w:b/>
          <w:bCs/>
        </w:rPr>
        <w:t xml:space="preserve"> </w:t>
      </w:r>
      <w:r>
        <w:rPr>
          <w:rStyle w:val="VerbatimChar"/>
          <w:b/>
          <w:bCs/>
        </w:rPr>
        <w:t xml:space="preserve">docs/getting-started/week-11-doubts.md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Practice naming the doubts and questions we usually do not say out loud, and bringing them honestly to God. The naming is the practice; the resolution is the Spirit’s work.</w:t>
      </w:r>
    </w:p>
    <w:p>
      <w:pPr>
        <w:pStyle w:val="BodyText"/>
      </w:pPr>
      <w:r>
        <w:rPr>
          <w:b/>
          <w:bCs/>
        </w:rPr>
        <w:t xml:space="preserve">Anchor.</w:t>
      </w:r>
      <w:r>
        <w:t xml:space="preserve"> </w:t>
      </w:r>
      <w:r>
        <w:t xml:space="preserve">Mark 9:24 — “I believe; help my unbelief!”</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1200"/>
        <w:gridCol w:w="5560"/>
        <w:gridCol w:w="2600"/>
      </w:tblGrid>
      <w:tr>
        <w:trPr>
          <w:tblHeader w:val="on"/>
        </w:trPr>
        <w:tc>
          <w:tcPr>
            <w:tcW w:type="dxa" w:w="1200"/>
          </w:tcPr>
          <w:p>
            <w:pPr>
              <w:pStyle w:val="Compact"/>
            </w:pPr>
            <w:r>
              <w:t xml:space="preserve">Time</w:t>
            </w:r>
          </w:p>
        </w:tc>
        <w:tc>
          <w:tcPr>
            <w:tcW w:type="dxa" w:w="5560"/>
          </w:tcPr>
          <w:p>
            <w:pPr>
              <w:pStyle w:val="Compact"/>
            </w:pPr>
            <w:r>
              <w:t xml:space="preserve">Block</w:t>
            </w:r>
          </w:p>
        </w:tc>
        <w:tc>
          <w:tcPr>
            <w:tcW w:type="dxa" w:w="2600"/>
          </w:tcPr>
          <w:p>
            <w:pPr>
              <w:pStyle w:val="Compact"/>
            </w:pPr>
            <w:r>
              <w:t xml:space="preserve">Lead</w:t>
            </w:r>
          </w:p>
        </w:tc>
      </w:tr>
      <w:tr>
        <w:trPr>
          <w:cantSplit/>
        </w:trPr>
        <w:tc>
          <w:tcPr>
            <w:tcW w:type="dxa" w:w="1200"/>
          </w:tcPr>
          <w:p>
            <w:pPr>
              <w:pStyle w:val="Compact"/>
            </w:pPr>
            <w:r>
              <w:t xml:space="preserve">6:00</w:t>
            </w:r>
          </w:p>
        </w:tc>
        <w:tc>
          <w:tcPr>
            <w:tcW w:type="dxa" w:w="5560"/>
          </w:tcPr>
          <w:p>
            <w:pPr>
              <w:pStyle w:val="Compact"/>
            </w:pPr>
            <w:r>
              <w:t xml:space="preserve">Dinner; leading team's walk-through at the table's edge if needed.</w:t>
            </w:r>
          </w:p>
        </w:tc>
        <w:tc>
          <w:tcPr>
            <w:tcW w:type="dxa" w:w="2600"/>
          </w:tcPr>
          <w:p>
            <w:pPr>
              <w:pStyle w:val="Compact"/>
            </w:pPr>
            <w:r>
              <w:t xml:space="preserve">Household</w:t>
            </w:r>
          </w:p>
        </w:tc>
      </w:tr>
      <w:tr>
        <w:trPr>
          <w:cantSplit/>
        </w:trPr>
        <w:tc>
          <w:tcPr>
            <w:tcW w:type="dxa" w:w="1200"/>
          </w:tcPr>
          <w:p>
            <w:pPr>
              <w:pStyle w:val="Compact"/>
            </w:pPr>
            <w:r>
              <w:t xml:space="preserve">7:00-7:06</w:t>
            </w:r>
          </w:p>
        </w:tc>
        <w:tc>
          <w:tcPr>
            <w:tcW w:type="dxa" w:w="5560"/>
          </w:tcPr>
          <w:p>
            <w:pPr>
              <w:pStyle w:val="Compact"/>
            </w:pPr>
            <w:r>
              <w:t xml:space="preserve">Welcome and centering; blessing; container reminder; frame the evening.</w:t>
            </w:r>
          </w:p>
        </w:tc>
        <w:tc>
          <w:tcPr>
            <w:tcW w:type="dxa" w:w="2600"/>
          </w:tcPr>
          <w:p>
            <w:pPr>
              <w:pStyle w:val="Compact"/>
            </w:pPr>
            <w:r>
              <w:t xml:space="preserve">Container holder</w:t>
            </w:r>
          </w:p>
        </w:tc>
      </w:tr>
      <w:tr>
        <w:trPr>
          <w:cantSplit/>
        </w:trPr>
        <w:tc>
          <w:tcPr>
            <w:tcW w:type="dxa" w:w="1200"/>
          </w:tcPr>
          <w:p>
            <w:pPr>
              <w:pStyle w:val="Compact"/>
            </w:pPr>
            <w:r>
              <w:t>7:06-7:18</w:t>
            </w:r>
          </w:p>
        </w:tc>
        <w:tc>
          <w:tcPr>
            <w:tcW w:type="dxa" w:w="5560"/>
          </w:tcPr>
          <w:p>
            <w:pPr>
              <w:pStyle w:val="Compact"/>
            </w:pPr>
            <w:r>
              <w:t>The return round: which practices you chose for weeks three and four, and why; what held; did you come back on your own; which you would keep. Then “one thing I’m not sure was God,” aloud or kept for the pair.</w:t>
            </w:r>
          </w:p>
        </w:tc>
        <w:tc>
          <w:tcPr>
            <w:tcW w:type="dxa" w:w="2600"/>
          </w:tcPr>
          <w:p>
            <w:pPr>
              <w:pStyle w:val="Compact"/>
            </w:pPr>
            <w:r>
              <w:t xml:space="preserve">Container holder</w:t>
            </w:r>
          </w:p>
        </w:tc>
      </w:tr>
      <w:tr>
        <w:trPr>
          <w:cantSplit/>
        </w:trPr>
        <w:tc>
          <w:tcPr>
            <w:tcW w:type="dxa" w:w="1200"/>
          </w:tcPr>
          <w:p>
            <w:pPr>
              <w:pStyle w:val="Compact"/>
            </w:pPr>
            <w:r>
              <w:t>7:18-7:23</w:t>
            </w:r>
          </w:p>
        </w:tc>
        <w:tc>
          <w:tcPr>
            <w:tcW w:type="dxa" w:w="5560"/>
          </w:tcPr>
          <w:p>
            <w:pPr>
              <w:pStyle w:val="Compact"/>
            </w:pPr>
            <w:r>
              <w:t xml:space="preserve">Mark 9:14–29 — the scripture ground</w:t>
            </w:r>
          </w:p>
        </w:tc>
        <w:tc>
          <w:tcPr>
            <w:tcW w:type="dxa" w:w="2600"/>
          </w:tcPr>
          <w:p>
            <w:pPr>
              <w:pStyle w:val="Compact"/>
            </w:pPr>
            <w:r>
              <w:t xml:space="preserve">Content presenter; container holder watching the room</w:t>
            </w:r>
          </w:p>
        </w:tc>
      </w:tr>
      <w:tr>
        <w:trPr>
          <w:cantSplit/>
        </w:trPr>
        <w:tc>
          <w:tcPr>
            <w:tcW w:type="dxa" w:w="1200"/>
          </w:tcPr>
          <w:p>
            <w:pPr>
              <w:pStyle w:val="Compact"/>
            </w:pPr>
            <w:r>
              <w:t>7:23-7:30</w:t>
            </w:r>
          </w:p>
        </w:tc>
        <w:tc>
          <w:tcPr>
            <w:tcW w:type="dxa" w:w="5560"/>
          </w:tcPr>
          <w:p>
            <w:pPr>
              <w:pStyle w:val="Compact"/>
            </w:pPr>
            <w:r>
              <w:t xml:space="preserve">The Any Doubts? practice — teaching; the two kinds of doubt (what God has said: the four steps; whether I heard him: the How Did You Know? checks); the demo</w:t>
            </w:r>
          </w:p>
        </w:tc>
        <w:tc>
          <w:tcPr>
            <w:tcW w:type="dxa" w:w="2600"/>
          </w:tcPr>
          <w:p>
            <w:pPr>
              <w:pStyle w:val="Compact"/>
            </w:pPr>
            <w:r>
              <w:t xml:space="preserve">Content presenter; container holder watching the room</w:t>
            </w:r>
          </w:p>
        </w:tc>
      </w:tr>
      <w:tr>
        <w:trPr>
          <w:cantSplit/>
        </w:trPr>
        <w:tc>
          <w:tcPr>
            <w:tcW w:type="dxa" w:w="1200"/>
          </w:tcPr>
          <w:p>
            <w:pPr>
              <w:pStyle w:val="Compact"/>
            </w:pPr>
            <w:r>
              <w:t>7:30-7:31</w:t>
            </w:r>
          </w:p>
        </w:tc>
        <w:tc>
          <w:tcPr>
            <w:tcW w:type="dxa" w:w="5560"/>
          </w:tcPr>
          <w:p>
            <w:pPr>
              <w:pStyle w:val="Compact"/>
            </w:pPr>
            <w:r>
              <w:t xml:space="preserve">Bridge to pairs</w:t>
            </w:r>
          </w:p>
        </w:tc>
        <w:tc>
          <w:tcPr>
            <w:tcW w:type="dxa" w:w="2600"/>
          </w:tcPr>
          <w:p>
            <w:pPr>
              <w:pStyle w:val="Compact"/>
            </w:pPr>
            <w:r>
              <w:t xml:space="preserve">Content presenter; container holder watching the room</w:t>
            </w:r>
          </w:p>
        </w:tc>
      </w:tr>
      <w:tr>
        <w:trPr>
          <w:cantSplit/>
        </w:trPr>
        <w:tc>
          <w:tcPr>
            <w:tcW w:type="dxa" w:w="1200"/>
          </w:tcPr>
          <w:p>
            <w:pPr>
              <w:pStyle w:val="Compact"/>
            </w:pPr>
            <w:r>
              <w:t>7:31-7:53</w:t>
            </w:r>
          </w:p>
        </w:tc>
        <w:tc>
          <w:tcPr>
            <w:tcW w:type="dxa" w:w="5560"/>
          </w:tcPr>
          <w:p>
            <w:pPr>
              <w:pStyle w:val="Compact"/>
            </w:pPr>
            <w:r>
              <w:t>Any Doubts? in pairs within families: one full cycle each way, about 11 minutes a turn, parent first</w:t>
            </w:r>
          </w:p>
        </w:tc>
        <w:tc>
          <w:tcPr>
            <w:tcW w:type="dxa" w:w="2600"/>
          </w:tcPr>
          <w:p>
            <w:pPr>
              <w:pStyle w:val="Compact"/>
            </w:pPr>
            <w:r>
              <w:t xml:space="preserve">Content presenter; container holder watching the room</w:t>
            </w:r>
          </w:p>
        </w:tc>
      </w:tr>
      <w:tr>
        <w:trPr>
          <w:cantSplit/>
        </w:trPr>
        <w:tc>
          <w:tcPr>
            <w:tcW w:type="dxa" w:w="1200"/>
          </w:tcPr>
          <w:p>
            <w:pPr>
              <w:pStyle w:val="Compact"/>
            </w:pPr>
            <w:r>
              <w:t>7:53-8:06</w:t>
            </w:r>
          </w:p>
        </w:tc>
        <w:tc>
          <w:tcPr>
            <w:tcW w:type="dxa" w:w="5560"/>
          </w:tcPr>
          <w:p>
            <w:pPr>
              <w:pStyle w:val="Compact"/>
            </w:pPr>
            <w:r>
              <w:t xml:space="preserve">The silent place (Reading Card): settle; remember where God seemed silent; bring in the time you heard; invite Jesus in, with permission to do or say anything he wishes, about three minutes of silence; write (is something blocking? the downside of a deeper connection?); share, optional</w:t>
            </w:r>
          </w:p>
        </w:tc>
        <w:tc>
          <w:tcPr>
            <w:tcW w:type="dxa" w:w="2600"/>
          </w:tcPr>
          <w:p>
            <w:pPr>
              <w:pStyle w:val="Compact"/>
            </w:pPr>
            <w:r>
              <w:t xml:space="preserve">Content presenter reads; container holder watching the room</w:t>
            </w:r>
          </w:p>
        </w:tc>
      </w:tr>
      <w:tr>
        <w:trPr>
          <w:cantSplit/>
        </w:trPr>
        <w:tc>
          <w:tcPr>
            <w:tcW w:type="dxa" w:w="1200"/>
          </w:tcPr>
          <w:p>
            <w:pPr>
              <w:pStyle w:val="Compact"/>
            </w:pPr>
            <w:r>
              <w:t>8:06-8:12</w:t>
            </w:r>
          </w:p>
        </w:tc>
        <w:tc>
          <w:tcPr>
            <w:tcW w:type="dxa" w:w="5560"/>
          </w:tcPr>
          <w:p>
            <w:pPr>
              <w:pStyle w:val="Compact"/>
            </w:pPr>
            <w:r>
              <w:t xml:space="preserve">Merge and surface: one word about the practices</w:t>
            </w:r>
          </w:p>
        </w:tc>
        <w:tc>
          <w:tcPr>
            <w:tcW w:type="dxa" w:w="2600"/>
          </w:tcPr>
          <w:p>
            <w:pPr>
              <w:pStyle w:val="Compact"/>
            </w:pPr>
            <w:r>
              <w:t xml:space="preserve">Container holder leads the merge; content presenter supporting</w:t>
            </w:r>
          </w:p>
        </w:tc>
      </w:tr>
      <w:tr>
        <w:trPr>
          <w:cantSplit/>
        </w:trPr>
        <w:tc>
          <w:tcPr>
            <w:tcW w:type="dxa" w:w="1200"/>
          </w:tcPr>
          <w:p>
            <w:pPr>
              <w:pStyle w:val="Compact"/>
            </w:pPr>
            <w:r>
              <w:t>8:12-8:21</w:t>
            </w:r>
          </w:p>
        </w:tc>
        <w:tc>
          <w:tcPr>
            <w:tcW w:type="dxa" w:w="5560"/>
          </w:tcPr>
          <w:p>
            <w:pPr>
              <w:pStyle w:val="Compact"/>
            </w:pPr>
            <w:r>
              <w:t>Homework and the Christmas send-off: the handout walked; the break chosen from The Practices So Far; the returning rule; who to reach; partners named; the Pulse goes home.</w:t>
            </w:r>
          </w:p>
        </w:tc>
        <w:tc>
          <w:tcPr>
            <w:tcW w:type="dxa" w:w="2600"/>
          </w:tcPr>
          <w:p>
            <w:pPr>
              <w:pStyle w:val="Compact"/>
            </w:pPr>
            <w:r>
              <w:t xml:space="preserve">Content presenter</w:t>
            </w:r>
          </w:p>
        </w:tc>
      </w:tr>
      <w:tr>
        <w:trPr>
          <w:cantSplit/>
        </w:trPr>
        <w:tc>
          <w:tcPr>
            <w:tcW w:type="dxa" w:w="1200"/>
          </w:tcPr>
          <w:p>
            <w:pPr>
              <w:pStyle w:val="Compact"/>
            </w:pPr>
            <w:r>
              <w:t xml:space="preserve">8:21-8:25</w:t>
            </w:r>
          </w:p>
        </w:tc>
        <w:tc>
          <w:tcPr>
            <w:tcW w:type="dxa" w:w="5560"/>
          </w:tcPr>
          <w:p>
            <w:pPr>
              <w:pStyle w:val="Compact"/>
            </w:pPr>
            <w:r>
              <w:t xml:space="preserve">Leader Feedback Round, both leaders: what went well, what I would do differently, the teach-back.</w:t>
            </w:r>
          </w:p>
        </w:tc>
        <w:tc>
          <w:tcPr>
            <w:tcW w:type="dxa" w:w="2600"/>
          </w:tcPr>
          <w:p>
            <w:pPr>
              <w:pStyle w:val="Compact"/>
            </w:pPr>
            <w:r>
              <w:t xml:space="preserve">Both leaders</w:t>
            </w:r>
          </w:p>
        </w:tc>
      </w:tr>
      <w:tr>
        <w:trPr>
          <w:cantSplit/>
        </w:trPr>
        <w:tc>
          <w:tcPr>
            <w:tcW w:type="dxa" w:w="1200"/>
          </w:tcPr>
          <w:p>
            <w:pPr>
              <w:pStyle w:val="Compact"/>
            </w:pPr>
            <w:r>
              <w:t xml:space="preserve">8:25-8:30</w:t>
            </w:r>
          </w:p>
        </w:tc>
        <w:tc>
          <w:tcPr>
            <w:tcW w:type="dxa" w:w="5560"/>
          </w:tcPr>
          <w:p>
            <w:pPr>
              <w:pStyle w:val="Compact"/>
            </w:pPr>
            <w:r>
              <w:t>Closing container; the Christmas break named; Aaronic blessing.</w:t>
            </w:r>
          </w:p>
        </w:tc>
        <w:tc>
          <w:tcPr>
            <w:tcW w:type="dxa" w:w="2600"/>
          </w:tcPr>
          <w:p>
            <w:pPr>
              <w:pStyle w:val="Compact"/>
            </w:pPr>
            <w:r>
              <w:t xml:space="preserve">Container holder</w:t>
            </w:r>
          </w:p>
        </w:tc>
      </w:tr>
      <w:tr>
        <w:trPr>
          <w:cantSplit/>
        </w:trPr>
        <w:tc>
          <w:tcPr>
            <w:tcW w:type="dxa" w:w="1200"/>
          </w:tcPr>
          <w:p>
            <w:pPr>
              <w:pStyle w:val="Compact"/>
            </w:pPr>
            <w:r>
              <w:t xml:space="preserve">8:30-9:00</w:t>
            </w:r>
          </w:p>
        </w:tc>
        <w:tc>
          <w:tcPr>
            <w:tcW w:type="dxa" w:w="5560"/>
          </w:tcPr>
          <w:p>
            <w:pPr>
              <w:pStyle w:val="Compact"/>
            </w:pPr>
            <w:r>
              <w:t xml:space="preserve">Fellowship; the room's feedback to the leaders; the five-question materials debrief; planning the next meeting.</w:t>
            </w:r>
          </w:p>
        </w:tc>
        <w:tc>
          <w:tcPr>
            <w:tcW w:type="dxa" w:w="2600"/>
          </w:tcPr>
          <w:p>
            <w:pPr>
              <w:pStyle w:val="Compact"/>
            </w:pPr>
            <w:r>
              <w:t xml:space="preserve">Everyone; John holds the debrief</w:t>
            </w:r>
          </w:p>
        </w:tc>
      </w:tr>
    </w:tbl>
    <w:bookmarkEnd w:id="9"/>
    <w:bookmarkStart w:id="10" w:name="X2486fc1ce7bbee325a85904fc793decde6383d6"/>
    <w:p>
      <w:pPr>
        <w:pStyle w:val="Heading2"/>
      </w:pPr>
      <w:r>
        <w:t>The homework handout (Evening 8, to The Return in January)</w:t>
      </w:r>
    </w:p>
    <w:p>
      <w:pPr>
        <w:pStyle w:val="Compact"/>
        <w:numPr>
          <w:ilvl w:val="0"/>
          <w:numId w:val="1001"/>
        </w:numPr>
      </w:pPr>
      <w:r>
        <w:rPr>
          <w:b/>
          <w:bCs/>
        </w:rPr>
        <w:t>The homework practice, week one.</w:t>
      </w:r>
      <w:r>
        <w:t xml:space="preserve"> </w:t>
      </w:r>
      <w:r>
        <w:t>The Personal Doubts Inventory: list 5–10 scriptures you say you believe, rate your honest trust 1–5, and write the specific doubt for the two or three lowest. No shame. Just data. The Quarterly Pulse (H11.4) goes home tonight; bring it to The Return.</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 xml:space="preserve">The homework practice, week two.</w:t>
      </w:r>
      <w:r>
        <w:t xml:space="preserve"> </w:t>
      </w:r>
      <w:r>
        <w:t xml:space="preserve">Two journal questions: is there something I heard and did not obey? what is at risk for me to hear? Journal what happens.</w:t>
      </w:r>
    </w:p>
    <w:p>
      <w:pPr>
        <w:pStyle w:val="Compact"/>
        <w:numPr>
          <w:ilvl w:val="0"/>
          <w:numId w:val="1001"/>
        </w:numPr>
      </w:pPr>
      <w:r>
        <w:rPr>
          <w:b/>
          <w:bCs/>
        </w:rPr>
        <w:t>The rest of the break.</w:t>
      </w:r>
      <w:r>
        <w:t xml:space="preserve"> </w:t>
      </w:r>
      <w:r>
        <w:t>After the two weeks, one practice a week from The Practices So Far, chosen freely, with why. Two sentences before The Return: “One thing I heard that I will act on is ___,” and “The practice I most wanted to keep was ___, because 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8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 xml:space="preserve">The silent place (John's word, 13 October). </w:t>
      </w:r>
      <w:r>
        <w:t xml:space="preserve">From the Four Connects deck, after the pairs: remember a time or place where God seemed silent; bring in the time you heard (remembered at the Garden evening); invite Jesus in with permission to do or say anything he wishes; then write and, optionally, share. The reader uses the Silent Place Reading Card (Leader Notes). The pairs give up five minutes for it.</w:t>
      </w:r>
    </w:p>
    <w:p>
      <w:pPr>
        <w:pStyle w:val="Compact"/>
        <w:numPr>
          <w:ilvl w:val="0"/>
          <w:numId w:val="1002"/>
        </w:numPr>
      </w:pPr>
      <w:r>
        <w:t xml:space="preserve">The breaks (John's word, 28 October). </w:t>
      </w:r>
      <w:r>
        <w:t>After four weeks apart over Thanksgiving, the return round takes the check-in's place, four minutes longer, given back by the pairs. The leads tally the choices quietly at the debrief: a count for each practice, chosen and kept, no names. The Christmas send-off closes the evening; The Return opens January.</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