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take-home-sheet-session-11-any-doubts"/>
    <w:p>
      <w:pPr>
        <w:pStyle w:val="Heading1"/>
      </w:pPr>
      <w:r>
        <w:rPr/>
        <w:t>Take-Home Sheet — Evening 8: Any Doubts?</w:t>
      </w:r>
    </w:p>
    <w:p>
      <w:pPr>
        <w:spacing w:after="140"/>
      </w:pPr>
      <w:r>
        <w:rPr>
          <w:b/>
        </w:rPr>
        <w:t xml:space="preserve">To The Return in January. The standing practice — every day, as you can. </w:t>
      </w:r>
      <w:r>
        <w:rPr/>
        <w:t>Morning, five minutes: “Lord, what are you up to today, and what do you want me to notice?” Evening, one journal line: “What did I notice today?”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spacing w:before="20" w:after="20"/>
            </w:pPr>
            <w:r/>
          </w:p>
        </w:tc>
        <w:tc>
          <w:tcPr/>
          <w:p>
            <w:pPr>
              <w:pStyle w:val="Compact"/>
              <w:spacing w:before="20" w:after="20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spacing w:before="20" w:after="20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spacing w:before="20" w:after="20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spacing w:before="20" w:after="20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spacing w:before="20" w:after="20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spacing w:before="20" w:after="20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spacing w:before="20" w:after="20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b/>
              </w:rPr>
              <w:t>Week one</w:t>
            </w:r>
          </w:p>
        </w:tc>
        <w:tc>
          <w:tcPr/>
          <w:p>
            <w:pPr>
              <w:pStyle w:val="Compact"/>
              <w:spacing w:before="20" w:after="20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spacing w:before="20" w:after="20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spacing w:before="20" w:after="20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spacing w:before="20" w:after="20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spacing w:before="20" w:after="20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spacing w:before="20" w:after="20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spacing w:before="20" w:after="20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b/>
              </w:rPr>
              <w:t>Week two</w:t>
            </w:r>
          </w:p>
        </w:tc>
        <w:tc>
          <w:tcPr/>
          <w:p>
            <w:pPr>
              <w:pStyle w:val="Compact"/>
              <w:spacing w:before="20" w:after="20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spacing w:before="20" w:after="20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spacing w:before="20" w:after="20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spacing w:before="20" w:after="20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spacing w:before="20" w:after="20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spacing w:before="20" w:after="20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spacing w:before="20" w:after="20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b/>
              </w:rPr>
              <w:t>Week three</w:t>
            </w:r>
          </w:p>
        </w:tc>
        <w:tc>
          <w:tcPr/>
          <w:p>
            <w:pPr>
              <w:pStyle w:val="Compact"/>
              <w:spacing w:before="20" w:after="20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spacing w:before="20" w:after="20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spacing w:before="20" w:after="20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spacing w:before="20" w:after="20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spacing w:before="20" w:after="20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spacing w:before="20" w:after="20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spacing w:before="20" w:after="20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b/>
              </w:rPr>
              <w:t>Week four</w:t>
            </w:r>
          </w:p>
        </w:tc>
        <w:tc>
          <w:tcPr/>
          <w:p>
            <w:pPr>
              <w:pStyle w:val="Compact"/>
              <w:spacing w:before="20" w:after="20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spacing w:before="20" w:after="20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spacing w:before="20" w:after="20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spacing w:before="20" w:after="20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spacing w:before="20" w:after="20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spacing w:before="20" w:after="20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spacing w:before="20" w:after="20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b/>
              </w:rPr>
              <w:t>Week five</w:t>
            </w:r>
          </w:p>
        </w:tc>
        <w:tc>
          <w:tcPr/>
          <w:p>
            <w:pPr>
              <w:pStyle w:val="Compact"/>
              <w:spacing w:before="20" w:after="20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spacing w:before="20" w:after="20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spacing w:before="20" w:after="20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spacing w:before="20" w:after="20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spacing w:before="20" w:after="20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spacing w:before="20" w:after="20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spacing w:before="20" w:after="20"/>
              <w:jc w:val="center"/>
            </w:pPr>
            <w:r>
              <w:t xml:space="preserve">☐</w:t>
            </w:r>
          </w:p>
        </w:tc>
      </w:tr>
    </w:tbl>
    <w:p>
      <w:pPr>
        <w:spacing w:after="140"/>
      </w:pPr>
      <w:r>
        <w:rPr>
          <w:i/>
          <w:iCs/>
          <w:sz w:val="20"/>
          <w:szCs w:val="20"/>
        </w:rPr>
        <w:t xml:space="preserve">One box per day. A missed box is never a failure — it is an invitation to return.</w:t>
      </w:r>
    </w:p>
    <w:bookmarkStart w:id="9" w:name="the-practice-week-one"/>
    <w:p>
      <w:pPr>
        <w:pStyle w:val="Heading2"/>
      </w:pPr>
      <w:r>
        <w:t>1. The homework practice — week one</w:t>
      </w:r>
    </w:p>
    <w:p>
      <w:pPr>
        <w:pStyle w:val="FirstParagraph"/>
      </w:pPr>
      <w:r>
        <w:rPr/>
        <w:t>The Personal Doubts Inventory, twenty minutes once: list 5–10 scriptures you say you believe; rate your trust in each, 1–5; for the lowest two or three, write the specific doubt and sit with it. No shame; just data. The Quarterly Pulse (H11.4) goes home tonight: five minutes, honest; bring it to The Return.</w:t>
      </w:r>
    </w:p>
    <w:bookmarkEnd w:id="9"/>
    <w:bookmarkStart w:id="10" w:name="the-end-of-week-one-check-in"/>
    <w:p>
      <w:pPr>
        <w:pStyle w:val="Heading2"/>
      </w:pPr>
      <w:r>
        <w:t xml:space="preserve">2. The end-of-week-one check-in</w:t>
      </w:r>
    </w:p>
    <w:p>
      <w:pPr>
        <w:pStyle w:val="FirstParagraph"/>
      </w:pPr>
      <w:r>
        <w:t xml:space="preserve">My check-in partner for this cycle is:</w:t>
      </w:r>
      <w:r>
        <w:t xml:space="preserve"> </w:t>
      </w:r>
      <w:r>
        <w:rPr>
          <w:b/>
          <w:bCs/>
        </w:rPr>
        <w:t xml:space="preserve">______________________</w:t>
      </w:r>
      <w:r>
        <w:t xml:space="preserve"> </w:t>
      </w:r>
      <w:r>
        <w:rPr>
          <w:i/>
          <w:iCs/>
        </w:rPr>
        <w:t xml:space="preserve">(named aloud at commissioning; a new partner each cycle)</w:t>
      </w:r>
    </w:p>
    <w:p>
      <w:pPr>
        <w:pStyle w:val="BodyText"/>
      </w:pPr>
      <w:r>
        <w:rPr/>
        <w:t xml:space="preserve">At the end of week one, tell your partner how it’s going. A text or a call counts. You are not grading each other; you are expecting each other. </w:t>
      </w:r>
      <w:r>
        <w:rPr>
          <w:b/>
        </w:rPr>
        <w:t>Done:</w:t>
      </w:r>
      <w:r>
        <w:rPr/>
        <w:t xml:space="preserve"> ☐</w:t>
      </w:r>
    </w:p>
    <w:bookmarkEnd w:id="10"/>
    <w:bookmarkStart w:id="11" w:name="the-practice-week-two"/>
    <w:p>
      <w:pPr>
        <w:pStyle w:val="Heading2"/>
      </w:pPr>
      <w:r>
        <w:t>3. The homework practice — week two</w:t>
      </w:r>
    </w:p>
    <w:p>
      <w:pPr>
        <w:pStyle w:val="FirstParagraph"/>
      </w:pPr>
      <w:r>
        <w:rPr/>
        <w:t>Two journal questions: Is there something I heard and did not obey? What is at risk for me to hear? Not sure it was God? Test it with the How Did You Know? card, in company.</w:t>
      </w:r>
    </w:p>
    <w:p>
      <w:pPr>
        <w:pStyle w:val="Heading2"/>
      </w:pPr>
      <w:r>
        <w:rPr/>
        <w:t>4. The rest of the break — your choice</w:t>
      </w:r>
    </w:p>
    <w:p>
      <w:pPr>
        <w:pStyle w:val="FirstParagraph"/>
      </w:pPr>
      <w:r>
        <w:rPr/>
        <w:t xml:space="preserve">Each week, choose one practice from </w:t>
      </w:r>
      <w:r>
        <w:rPr>
          <w:b/>
        </w:rPr>
        <w:t>The Practices So Far</w:t>
      </w:r>
      <w:r>
        <w:rPr/>
        <w:t xml:space="preserve"> (Any Doubts? is on it now), the one you’d really like to do. If it slips, begin again the next day. No streaks.</w:t>
      </w:r>
    </w:p>
    <w:p>
      <w:pPr>
        <w:pStyle w:val="FirstParagraph"/>
      </w:pPr>
      <w:r>
        <w:rPr>
          <w:b/>
        </w:rPr>
        <w:t xml:space="preserve">Week three: </w:t>
      </w:r>
      <w:r>
        <w:rPr/>
        <w:t>________________  Why this one: ________________  ☐</w:t>
      </w:r>
      <w:r>
        <w:br/>
      </w:r>
      <w:r>
        <w:rPr>
          <w:b/>
        </w:rPr>
        <w:t xml:space="preserve">Week four: </w:t>
      </w:r>
      <w:r>
        <w:t>________________  Why this one: ________________  ☐</w:t>
      </w:r>
      <w:r>
        <w:br/>
      </w:r>
      <w:r>
        <w:rPr>
          <w:b/>
        </w:rPr>
        <w:t xml:space="preserve">Week five: </w:t>
      </w:r>
      <w:r>
        <w:t>________________  Why this one: ________________  ☐</w:t>
      </w:r>
    </w:p>
    <w:bookmarkEnd w:id="11"/>
    <w:bookmarkStart w:id="12" w:name="one-sentence-of-preparation"/>
    <w:p>
      <w:pPr>
        <w:pStyle w:val="Heading2"/>
      </w:pPr>
      <w:r>
        <w:rPr/>
        <w:t>5. Two sentences of preparation</w:t>
      </w:r>
    </w:p>
    <w:p>
      <w:pPr>
        <w:pStyle w:val="FirstParagraph"/>
      </w:pPr>
      <w:r>
        <w:rPr/>
        <w:t xml:space="preserve">Before The Return, in your journal: “One thing I heard that I will act on is ____.” And: “The practice I most wanted to keep was ____, because ____.” </w:t>
      </w:r>
      <w:r>
        <w:rPr>
          <w:b/>
        </w:rPr>
        <w:t>Done:</w:t>
      </w:r>
      <w:r>
        <w:rPr/>
        <w:t xml:space="preserve"> ☐</w:t>
      </w:r>
    </w:p>
    <w:bookmarkEnd w:id="12"/>
    <w:bookmarkEnd w:id="13"/>
    <w:sectPr>
      <w:headerReference w:type="default" r:id="rId9"/>
      <w:footerReference w:type="default" r:id="rId10"/>
      <w:footnotePr>
        <w:numRestart w:val="eachSect"/>
      </w:footnotePr>
      <w:pgMar w:top="1008" w:bottom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2026-09-09T21:53:42Z</dcterms:created>
  <dcterms:modified xsi:type="dcterms:W3CDTF">2026-09-09T21:53:42Z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