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session-12-evening-form-the-return"/>
    <w:p>
      <w:pPr>
        <w:pStyle w:val="Heading1"/>
      </w:pPr>
      <w:r>
        <w:t>Evening 9 — THE RETURN</w:t>
      </w:r>
    </w:p>
    <w:p>
      <w:pPr>
        <w:pStyle w:val="FirstParagraph"/>
      </w:pPr>
      <w:r>
        <w:rPr>
          <w:b/>
          <w:bCs/>
        </w:rPr>
        <w:t xml:space="preserve">AUTO-ADAPTED DRAFT from</w:t>
      </w:r>
      <w:r>
        <w:rPr>
          <w:b/>
          <w:bCs/>
        </w:rPr>
        <w:t xml:space="preserve"> </w:t>
      </w:r>
      <w:r>
        <w:rPr>
          <w:rStyle w:val="VerbatimChar"/>
          <w:b/>
          <w:bCs/>
        </w:rPr>
        <w:t xml:space="preserve">docs/getting-started/week-12-return.md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Aim (from the school version). Full re-entry after a break. Every break is a natural test of whether the practices survived without the container holding them — tonight rebuilds the room, reads without shame what held and what slipped, welcomes back anyone who drifted, and re-anchors the cohort in the year’s map. Slips are data, not failure. The door is the whole point.</w:t>
      </w:r>
      <w:r/>
      <w:r/>
    </w:p>
    <w:p>
      <w:pPr>
        <w:pStyle w:val="BodyText"/>
      </w:pPr>
      <w:r>
        <w:rPr>
          <w:b/>
          <w:bCs/>
        </w:rPr>
        <w:t xml:space="preserve">Anchor.</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7:25-7:34</w:t>
            </w:r>
          </w:p>
        </w:tc>
        <w:tc>
          <w:tcPr/>
          <w:p>
            <w:pPr>
              <w:pStyle w:val="Compact"/>
            </w:pPr>
            <w:r>
              <w:t xml:space="preserve">Block 2: New every morning — Lam. 3:22–23, Ps. 126</w:t>
            </w:r>
          </w:p>
        </w:tc>
        <w:tc>
          <w:tcPr/>
          <w:p>
            <w:pPr>
              <w:pStyle w:val="Compact"/>
            </w:pPr>
            <w:r>
              <w:t xml:space="preserve">Content presenter; container holder watching the room</w:t>
            </w:r>
          </w:p>
        </w:tc>
      </w:tr>
      <w:tr>
        <w:tc>
          <w:tcPr/>
          <w:p>
            <w:pPr>
              <w:pStyle w:val="Compact"/>
            </w:pPr>
            <w:r>
              <w:t xml:space="preserve">7:34-7:57</w:t>
            </w:r>
          </w:p>
        </w:tc>
        <w:tc>
          <w:tcPr/>
          <w:p>
            <w:pPr>
              <w:pStyle w:val="Compact"/>
            </w:pPr>
            <w:r>
              <w:t xml:space="preserve">Block 3: “What held?”</w:t>
            </w:r>
          </w:p>
        </w:tc>
        <w:tc>
          <w:tcPr/>
          <w:p>
            <w:pPr>
              <w:pStyle w:val="Compact"/>
            </w:pPr>
            <w:r>
              <w:t xml:space="preserve">Content presenter; container holder watching the room</w:t>
            </w:r>
          </w:p>
        </w:tc>
      </w:tr>
      <w:tr>
        <w:tc>
          <w:tcPr/>
          <w:p>
            <w:pPr>
              <w:pStyle w:val="Compact"/>
            </w:pPr>
            <w:r>
              <w:t xml:space="preserve">7:57-8:15</w:t>
            </w:r>
          </w:p>
        </w:tc>
        <w:tc>
          <w:tcPr/>
          <w:p>
            <w:pPr>
              <w:pStyle w:val="Compact"/>
            </w:pPr>
            <w:r>
              <w:t xml:space="preserve">Block 4: The walk home</w:t>
            </w:r>
          </w:p>
        </w:tc>
        <w:tc>
          <w:tcPr/>
          <w:p>
            <w:pPr>
              <w:pStyle w:val="Compact"/>
            </w:pPr>
            <w:r>
              <w:t xml:space="preserve">Content presenter; container holder watching the room</w:t>
            </w:r>
          </w:p>
        </w:tc>
      </w:tr>
      <w:tr>
        <w:tc>
          <w:tcPr/>
          <w:p>
            <w:pPr>
              <w:pStyle w:val="Compact"/>
            </w:pPr>
            <w:r>
              <w:t xml:space="preserve">8:15-8:20</w:t>
            </w:r>
          </w:p>
        </w:tc>
        <w:tc>
          <w:tcPr/>
          <w:p>
            <w:pPr>
              <w:pStyle w:val="Compact"/>
            </w:pPr>
            <w:r>
              <w:t xml:space="preserve">Block 5: Re-anchoring the year — and the door out, once</w:t>
            </w:r>
          </w:p>
        </w:tc>
        <w:tc>
          <w:tcPr/>
          <w:p>
            <w:pPr>
              <w:pStyle w:val="Compact"/>
            </w:pPr>
            <w:r>
              <w:t xml:space="preserve">Content presenter; container holder watching the room</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8:24-8:26</w:t>
            </w:r>
          </w:p>
        </w:tc>
        <w:tc>
          <w:tcPr/>
          <w:p>
            <w:pPr>
              <w:pStyle w:val="Compact"/>
            </w:pPr>
            <w:r>
              <w:t xml:space="preserve">Closing protocol begins, unhurried: stand; one-word landing.</w:t>
            </w:r>
          </w:p>
        </w:tc>
        <w:tc>
          <w:tcPr/>
          <w:p>
            <w:pPr>
              <w:pStyle w:val="Compact"/>
            </w:pPr>
            <w:r>
              <w:t xml:space="preserve">Container holder</w:t>
            </w:r>
          </w:p>
        </w:tc>
      </w:tr>
      <w:tr>
        <w:tc>
          <w:tcPr/>
          <w:p>
            <w:pPr>
              <w:pStyle w:val="Compact"/>
            </w:pPr>
            <w:r>
              <w:t xml:space="preserve">8:26-8:29</w:t>
            </w:r>
          </w:p>
        </w:tc>
        <w:tc>
          <w:tcPr/>
          <w:p>
            <w:pPr>
              <w:pStyle w:val="Compact"/>
            </w:pPr>
            <w:r>
              <w:t xml:space="preserve">Leader Feedback Round interposed, both leaders: what went well, what I would do differently, the teach-back.</w:t>
            </w:r>
          </w:p>
        </w:tc>
        <w:tc>
          <w:tcPr/>
          <w:p>
            <w:pPr>
              <w:pStyle w:val="Compact"/>
            </w:pPr>
            <w:r>
              <w:t xml:space="preserve">Both leaders</w:t>
            </w:r>
          </w:p>
        </w:tc>
      </w:tr>
      <w:tr>
        <w:tc>
          <w:tcPr/>
          <w:p>
            <w:pPr>
              <w:pStyle w:val="Compact"/>
            </w:pPr>
            <w:r>
              <w:t xml:space="preserve">8:29-8:30</w:t>
            </w:r>
          </w:p>
        </w:tc>
        <w:tc>
          <w:tcPr/>
          <w:p>
            <w:pPr>
              <w:pStyle w:val="Compact"/>
            </w:pPr>
            <w:r>
              <w:t xml:space="preserve">Return: “His mercies did not run out”;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Xb37110b1c91d97cdc92283490a6efde99c04fae"/>
    <w:p>
      <w:pPr>
        <w:pStyle w:val="Heading2"/>
      </w:pPr>
      <w:r>
        <w:t>The homework handout (Evening 9, two weeks)</w:t>
      </w:r>
    </w:p>
    <w:p>
      <w:pPr>
        <w:pStyle w:val="Compact"/>
        <w:numPr>
          <w:ilvl w:val="0"/>
          <w:numId w:val="1001"/>
        </w:numPr>
      </w:pPr>
      <w:r>
        <w:rPr>
          <w:b/>
          <w:bCs/>
        </w:rPr>
        <w:t>The homework practice, week one.</w:t>
      </w:r>
      <w:r>
        <w:t xml:space="preserve"> </w:t>
      </w:r>
      <w:r>
        <w:t xml:space="preserve">Restart (or continue) one daily practice — just one — chosen tonight and written in the journal. Not the whole rhythm. One.</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Evening 9 returns to the whole map — all four Connects, rebuilt after the break.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2026-09-09T17:07:37Z</dcterms:created>
  <dcterms:modified xsi:type="dcterms:W3CDTF">2026-09-09T17:07:37Z</dcterms:modified>
</cp:coreProperties>
</file>

<file path=docProps/custom.xml><?xml version="1.0" encoding="utf-8"?>
<Properties xmlns="http://schemas.openxmlformats.org/officeDocument/2006/custom-properties" xmlns:vt="http://schemas.openxmlformats.org/officeDocument/2006/docPropsVTypes"/>
</file>