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f058a907fcf403f8ec2d94e07884dbbea8e8d24"/>
    <w:p>
      <w:pPr>
        <w:pStyle w:val="Heading1"/>
      </w:pPr>
      <w:r>
        <w:t>Evening 12 — FAMILY CONVERSATION NIGHT</w:t>
      </w:r>
    </w:p>
    <w:p>
      <w:pPr>
        <w:pStyle w:val="FirstParagraph"/>
      </w:pPr>
      <w:r>
        <w:rPr>
          <w:b/>
          <w:bCs/>
        </w:rPr>
        <w:t xml:space="preserve">AUTO-ADAPTED DRAFT from</w:t>
      </w:r>
      <w:r>
        <w:rPr>
          <w:b/>
          <w:bCs/>
        </w:rPr>
        <w:t xml:space="preserve"> </w:t>
      </w:r>
      <w:r>
        <w:rPr>
          <w:rStyle w:val="VerbatimChar"/>
          <w:b/>
          <w:bCs/>
        </w:rPr>
        <w:t xml:space="preserve">docs/getting-started/week-16-family-night.md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A shared meal and the Family Conversation Cards — low content, high warmth. The container the cohort has built for fifteen weeks gets to simply hold people for an evening: tables, real food, unhurried talk, and two or three card questions over dessert. Pulse 3 goes home at the close and steers the final quarter.</w:t>
      </w:r>
    </w:p>
    <w:p>
      <w:pPr>
        <w:pStyle w:val="BodyText"/>
      </w:pPr>
      <w:r>
        <w:rPr>
          <w:b/>
          <w:bCs/>
        </w:rPr>
        <w:t xml:space="preserve">Anchor.</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7:25-7:29</w:t>
            </w:r>
          </w:p>
        </w:tc>
        <w:tc>
          <w:tcPr/>
          <w:p>
            <w:pPr>
              <w:pStyle w:val="Compact"/>
            </w:pPr>
            <w:r>
              <w:t xml:space="preserve">Block 2: Rhythm-noticing round</w:t>
            </w:r>
          </w:p>
        </w:tc>
        <w:tc>
          <w:tcPr/>
          <w:p>
            <w:pPr>
              <w:pStyle w:val="Compact"/>
            </w:pPr>
            <w:r>
              <w:t xml:space="preserve">Content presenter; container holder watching the room</w:t>
            </w:r>
          </w:p>
        </w:tc>
      </w:tr>
      <w:tr>
        <w:tc>
          <w:tcPr/>
          <w:p>
            <w:pPr>
              <w:pStyle w:val="Compact"/>
            </w:pPr>
            <w:r>
              <w:t xml:space="preserve">7:29-7:31</w:t>
            </w:r>
          </w:p>
        </w:tc>
        <w:tc>
          <w:tcPr/>
          <w:p>
            <w:pPr>
              <w:pStyle w:val="Compact"/>
            </w:pPr>
            <w:r>
              <w:t xml:space="preserve">Block 3: Acts 2:46 and the table grace</w:t>
            </w:r>
          </w:p>
        </w:tc>
        <w:tc>
          <w:tcPr/>
          <w:p>
            <w:pPr>
              <w:pStyle w:val="Compact"/>
            </w:pPr>
            <w:r>
              <w:t xml:space="preserve">Content presenter; container holder watching the room</w:t>
            </w:r>
          </w:p>
        </w:tc>
      </w:tr>
      <w:tr>
        <w:tc>
          <w:tcPr/>
          <w:p>
            <w:pPr>
              <w:pStyle w:val="Compact"/>
            </w:pPr>
            <w:r>
              <w:t xml:space="preserve">7:31-7:59</w:t>
            </w:r>
          </w:p>
        </w:tc>
        <w:tc>
          <w:tcPr/>
          <w:p>
            <w:pPr>
              <w:pStyle w:val="Compact"/>
            </w:pPr>
            <w:r>
              <w:t xml:space="preserve">Block 4: The meal</w:t>
            </w:r>
          </w:p>
        </w:tc>
        <w:tc>
          <w:tcPr/>
          <w:p>
            <w:pPr>
              <w:pStyle w:val="Compact"/>
            </w:pPr>
            <w:r>
              <w:t xml:space="preserve">Content presenter; container holder watching the room</w:t>
            </w:r>
          </w:p>
        </w:tc>
      </w:tr>
      <w:tr>
        <w:tc>
          <w:tcPr/>
          <w:p>
            <w:pPr>
              <w:pStyle w:val="Compact"/>
            </w:pPr>
            <w:r>
              <w:t xml:space="preserve">7:59-8:17</w:t>
            </w:r>
          </w:p>
        </w:tc>
        <w:tc>
          <w:tcPr/>
          <w:p>
            <w:pPr>
              <w:pStyle w:val="Compact"/>
            </w:pPr>
            <w:r>
              <w:t xml:space="preserve">Block 5: Cards over dessert</w:t>
            </w:r>
          </w:p>
        </w:tc>
        <w:tc>
          <w:tcPr/>
          <w:p>
            <w:pPr>
              <w:pStyle w:val="Compact"/>
            </w:pPr>
            <w:r>
              <w:t xml:space="preserve">Content presenter; container holder watching the room</w:t>
            </w:r>
          </w:p>
        </w:tc>
      </w:tr>
      <w:tr>
        <w:tc>
          <w:tcPr/>
          <w:p>
            <w:pPr>
              <w:pStyle w:val="Compact"/>
            </w:pPr>
            <w:r>
              <w:t xml:space="preserve">8:17-8:20</w:t>
            </w:r>
          </w:p>
        </w:tc>
        <w:tc>
          <w:tcPr/>
          <w:p>
            <w:pPr>
              <w:pStyle w:val="Compact"/>
            </w:pPr>
            <w:r>
              <w:t xml:space="preserve">Block 6: Pulse 3 framed and sent home</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ea3c362cafc12a216e6ed73e3750d290a369848"/>
    <w:p>
      <w:pPr>
        <w:pStyle w:val="Heading2"/>
      </w:pPr>
      <w:r>
        <w:t>The homework handout (Evening 12, two weeks)</w:t>
      </w:r>
    </w:p>
    <w:p>
      <w:pPr>
        <w:pStyle w:val="Compact"/>
        <w:numPr>
          <w:ilvl w:val="0"/>
          <w:numId w:val="1001"/>
        </w:numPr>
      </w:pPr>
      <w:r>
        <w:rPr>
          <w:b/>
          <w:bCs/>
        </w:rPr>
        <w:t>The homework practice, week one. Complete the Quarterly Pulse (H16.1) — one page, three questions, five minutes at home — and bring it back to the return bin at the next evening’s door. And keep the rhythm: the card you built in Evening 11 is still the assignment.</w:t>
      </w:r>
      <w:r/>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The homework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p>
      <w:pPr>
        <w:pStyle w:val="Compact"/>
        <w:numPr>
          <w:ilvl w:val="0"/>
          <w:numId w:val="1002"/>
        </w:numPr>
      </w:pPr>
      <w:r>
        <w:t>The evening opens on the map.</w:t>
      </w:r>
      <w:r>
        <w:t xml:space="preserve"> The Four Connects grounding slide now opens every session. Evening 12 stands in the second box — Connect with Others, as family. Each connection makes the next one real (Matt. 22:37–40).</w:t>
      </w:r>
    </w:p>
    <w:p>
      <w:pPr>
        <w:pStyle w:val="Compact"/>
        <w:numPr>
          <w:ilvl w:val="0"/>
          <w:numId w:val="1002"/>
        </w:numPr>
      </w:pPr>
      <w: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2"/>
        </w:numPr>
      </w:pPr>
      <w:r>
        <w:t>Split only if the room needs it.</w:t>
      </w:r>
      <w:r>
        <w:t xml:space="preserve"> Any split-and-merge assumes numbers. With six or so around the table, stay one circle — or drop into quick pair work in place, knee to knee, which does the same work faster. Pair work is also the standing time-recovery lever: a full split-and-merge costs about five minutes.</w:t>
      </w:r>
    </w:p>
    <w:p>
      <w:pPr>
        <w:pStyle w:val="Compact"/>
        <w:numPr>
          <w:ilvl w:val="0"/>
          <w:numId w:val="1002"/>
        </w:numPr>
      </w:pPr>
      <w: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11"/>
    <w:bookmarkEnd w:id="12"/>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2026-09-09T17:07:38Z</dcterms:created>
  <dcterms:modified xsi:type="dcterms:W3CDTF">2026-09-09T17:07:38Z</dcterms:modified>
</cp:coreProperties>
</file>

<file path=docProps/custom.xml><?xml version="1.0" encoding="utf-8"?>
<Properties xmlns="http://schemas.openxmlformats.org/officeDocument/2006/custom-properties" xmlns:vt="http://schemas.openxmlformats.org/officeDocument/2006/docPropsVTypes"/>
</file>