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2-the-return"/>
    <w:p>
      <w:pPr>
        <w:pStyle w:val="Heading1"/>
      </w:pPr>
      <w:r>
        <w:t xml:space="preserve">Take-Home Sheet — Session 12: The Return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 xml:space="preserve">Restart (or continue) one daily practice — just one — chosen tonight and written in the journal. Not the whole rhythm. One.</w:t>
      </w:r>
    </w:p>
    <w:bookmarkEnd w:id="9"/>
    <w:bookmarkStart w:id="10" w:name="the-end-of-week-one-check-in"/>
    <w:p>
      <w:pPr>
        <w:spacing w:after="140"/>
      </w:pPr>
      <w:r>
        <w:rPr>
          <w:i/>
          <w:iCs/>
          <w:sz w:val="20"/>
          <w:szCs w:val="20"/>
        </w:rPr>
        <w:t>One box per day.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spacing w:after="140"/>
      </w:pPr>
      <w:r>
        <w:rPr>
          <w:i/>
          <w:iCs/>
          <w:sz w:val="20"/>
          <w:szCs w:val="20"/>
        </w:rPr>
        <w:t>One box per day.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2"/>
    <w:bookmarkEnd w:id="13"/>
    <w:sectPr>
      <w:footnotePr>
        <w:numRestart w:val="eachSect"/>
      </w:footnotePr>
      <w:pgMar w:top="864" w:bottom="864" w:left="1224" w:right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