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a63f7817873524899915cb505a4ea93bf8dedce"/>
    <w:p>
      <w:pPr>
        <w:pStyle w:val="Heading1"/>
      </w:pPr>
      <w:r>
        <w:t xml:space="preserve">Take-Home Sheet — Session 14: Second Running: Block a</w:t>
      </w:r>
    </w:p>
    <w:p>
      <w:r>
        <w:pict>
          <v:rect style="width:0;height:1.5pt" o:hralign="center" o:hrstd="t" o:hr="t"/>
        </w:pict>
      </w:r>
    </w:p>
    <w:p>
      <w:pPr>
        <w:spacing w:after="140"/>
      </w:pPr>
      <w:r>
        <w:rPr>
          <w:b/>
          <w:bCs/>
        </w:rPr>
        <w:t xml:space="preserve">The standing practice — every day, both weeks. </w:t>
      </w:r>
      <w:r>
        <w:t xml:space="preserve">Morning, five minutes: “Lord, what are you up to today, and what do you want me to notice?” Evening, one journal line: “What did I notice today?”</w:t>
      </w:r>
    </w:p>
    <w:p>
      <w:pPr>
        <w:spacing w:after="140"/>
      </w:pPr>
      <w:r>
        <w:rPr>
          <w:b/>
          <w:bCs/>
        </w:rPr>
        <w:t xml:space="preserve">Week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</w:pPr>
      <w:r>
        <w:t>1. The homework practice — week one</w:t>
      </w:r>
    </w:p>
    <w:p>
      <w:pPr>
        <w:pStyle w:val="FirstParagraph"/>
      </w:pPr>
      <w:r>
        <w:t xml:space="preserve">Continue the daily rhythm — the morning question, the evening journal note, PROAPT one short passage. And each family pair finishes at home anything the evening opened: the passage’s Tell said again at the table (Option 1), or one more card pulled during the week (Option 2).</w:t>
      </w:r>
    </w:p>
    <w:bookmarkEnd w:id="9"/>
    <w:bookmarkStart w:id="10" w:name="the-end-of-week-one-check-in"/>
    <w:p>
      <w:pPr>
        <w:spacing w:after="140"/>
      </w:pPr>
      <w:r>
        <w:rPr>
          <w:i/>
          <w:iCs/>
          <w:sz w:val="20"/>
          <w:szCs w:val="20"/>
        </w:rPr>
        <w:t>One box per day.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>3. The homework practice — week two</w:t>
      </w:r>
    </w:p>
    <w:p>
      <w:pPr>
        <w:pStyle w:val="FirstParagraph"/>
      </w:pPr>
      <w:r>
        <w:t xml:space="preserve">Continue or deepen the same practice, as the session specifies; journal</w:t>
      </w:r>
      <w:r>
        <w:t xml:space="preserve"> </w:t>
      </w:r>
      <w:r>
        <w:t xml:space="preserve">what happens.</w:t>
      </w:r>
    </w:p>
    <w:bookmarkEnd w:id="11"/>
    <w:bookmarkStart w:id="12" w:name="one-sentence-of-preparation"/>
    <w:p>
      <w:pPr>
        <w:spacing w:after="140"/>
      </w:pPr>
      <w:r>
        <w:rPr>
          <w:i/>
          <w:iCs/>
          <w:sz w:val="20"/>
          <w:szCs w:val="20"/>
        </w:rPr>
        <w:t>One box per day.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t xml:space="preserve">Set at commissioning from the session’s materials.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2"/>
    <w:bookmarkEnd w:id="13"/>
    <w:sectPr>
      <w:footnotePr>
        <w:numRestart w:val="eachSect"/>
      </w:footnotePr>
      <w:pgMar w:top="864" w:bottom="864" w:left="1224" w:right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2026-09-09T21:53:43Z</dcterms:created>
  <dcterms:modified xsi:type="dcterms:W3CDTF">2026-09-09T21:53:43Z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