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session-20-evening-form-the-long-walk"/>
    <w:p>
      <w:pPr>
        <w:pStyle w:val="Heading1"/>
      </w:pPr>
      <w:r>
        <w:t>Evening 15 — THE LONG WALK</w:t>
      </w:r>
    </w:p>
    <w:p>
      <w:pPr>
        <w:pStyle w:val="FirstParagraph"/>
      </w:pPr>
      <w:r>
        <w:rPr>
          <w:b/>
          <w:bCs/>
        </w:rPr>
        <w:t xml:space="preserve">AUTO-ADAPTED DRAFT from</w:t>
      </w:r>
      <w:r>
        <w:rPr>
          <w:b/>
          <w:bCs/>
        </w:rPr>
        <w:t xml:space="preserve"> </w:t>
      </w:r>
      <w:r>
        <w:rPr>
          <w:rStyle w:val="VerbatimChar"/>
          <w:b/>
          <w:bCs/>
        </w:rPr>
        <w:t xml:space="preserve">docs/getting-started/week-20-long-walk.md</w:t>
      </w:r>
      <w:r>
        <w:rPr>
          <w:b/>
          <w:bCs/>
        </w:rPr>
        <w:t xml:space="preserve">, which keeps</w:t>
      </w:r>
      <w:r>
        <w:rPr>
          <w:b/>
          <w:bCs/>
        </w:rPr>
        <w:t xml:space="preserve"> </w:t>
      </w:r>
      <w:r>
        <w:rPr>
          <w:b/>
          <w:bCs/>
        </w:rPr>
        <w:t xml:space="preserve">the full scripts, watch-fors, and crisis contingencies. The middle blocks below</w:t>
      </w:r>
      <w:r>
        <w:rPr>
          <w:b/>
          <w:bCs/>
        </w:rPr>
        <w:t xml:space="preserve"> </w:t>
      </w:r>
      <w:r>
        <w:rPr>
          <w:b/>
          <w:bCs/>
        </w:rPr>
        <w:t xml:space="preserve">carry the school session’s content scaled into the evening frame; the leading</w:t>
      </w:r>
      <w:r>
        <w:rPr>
          <w:b/>
          <w:bCs/>
        </w:rPr>
        <w:t xml:space="preserve"> </w:t>
      </w:r>
      <w:r>
        <w:rPr>
          <w:b/>
          <w:bCs/>
        </w:rPr>
        <w:t xml:space="preserve">team tunes the minutes and the leads at the planning lab before this session.</w:t>
      </w:r>
    </w:p>
    <w:p>
      <w:pPr>
        <w:pStyle w:val="BodyText"/>
      </w:pPr>
      <w:r>
        <w:rPr>
          <w:b/>
          <w:bCs/>
        </w:rPr>
        <w:t>Aim (from the school version).</w:t>
      </w:r>
      <w:r>
        <w:t xml:space="preserve"> </w:t>
      </w:r>
      <w:r>
        <w:t>Consolidate the year at the threshold of the sending. Three movements: the Companions-in-Formation teach the Signs Card and the Path Home Card to the whole room — their final rep before the Evening 17 commissioning; the room walks back through its own year, journal in hand; and one-sentence testimonies are gathered, with real consent, for the two commissioning evenings. The Post-Series Survey goes home at the close.</w:t>
      </w:r>
    </w:p>
    <w:p>
      <w:pPr>
        <w:pStyle w:val="BodyText"/>
      </w:pPr>
      <w:r>
        <w:rPr>
          <w:b/>
          <w:bCs/>
        </w:rPr>
        <w:t xml:space="preserve">Anchor.</w:t>
      </w:r>
    </w:p>
    <w:bookmarkStart w:id="9" w:name="the-run-sheet-700-830"/>
    <w:p>
      <w:pPr>
        <w:pStyle w:val="Heading2"/>
      </w:pPr>
      <w:r>
        <w:t xml:space="preserve">The run sheet (7:00-8:30)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Time</w:t>
            </w:r>
          </w:p>
        </w:tc>
        <w:tc>
          <w:tcPr/>
          <w:p>
            <w:pPr>
              <w:pStyle w:val="Compact"/>
            </w:pPr>
            <w:r>
              <w:t xml:space="preserve">Block</w:t>
            </w:r>
          </w:p>
        </w:tc>
        <w:tc>
          <w:tcPr/>
          <w:p>
            <w:pPr>
              <w:pStyle w:val="Compact"/>
            </w:pPr>
            <w:r>
              <w:t xml:space="preserve">Lead</w:t>
            </w:r>
          </w:p>
        </w:tc>
      </w:tr>
      <w:tr>
        <w:tc>
          <w:tcPr/>
          <w:p>
            <w:pPr>
              <w:pStyle w:val="Compact"/>
            </w:pPr>
            <w:r>
              <w:t xml:space="preserve">6:00</w:t>
            </w:r>
          </w:p>
        </w:tc>
        <w:tc>
          <w:tcPr/>
          <w:p>
            <w:pPr>
              <w:pStyle w:val="Compact"/>
            </w:pPr>
            <w:r>
              <w:t xml:space="preserve">Dinner; leading team’s walk-through at the table’s edge if needed.</w:t>
            </w:r>
          </w:p>
        </w:tc>
        <w:tc>
          <w:tcPr/>
          <w:p>
            <w:pPr>
              <w:pStyle w:val="Compact"/>
            </w:pPr>
            <w:r>
              <w:t xml:space="preserve">Household</w:t>
            </w:r>
          </w:p>
        </w:tc>
      </w:tr>
      <w:tr>
        <w:tc>
          <w:tcPr/>
          <w:p>
            <w:pPr>
              <w:pStyle w:val="Compact"/>
            </w:pPr>
            <w:r>
              <w:t xml:space="preserve">7:00-7:08</w:t>
            </w:r>
          </w:p>
        </w:tc>
        <w:tc>
          <w:tcPr/>
          <w:p>
            <w:pPr>
              <w:pStyle w:val="Compact"/>
            </w:pPr>
            <w:r>
              <w:t xml:space="preserve">Welcome and centering; blessing; container reminder; frame the evening.</w:t>
            </w:r>
          </w:p>
        </w:tc>
        <w:tc>
          <w:tcPr/>
          <w:p>
            <w:pPr>
              <w:pStyle w:val="Compact"/>
            </w:pPr>
            <w:r>
              <w:t xml:space="preserve">Container holder</w:t>
            </w:r>
          </w:p>
        </w:tc>
      </w:tr>
      <w:tr>
        <w:tc>
          <w:tcPr/>
          <w:p>
            <w:pPr>
              <w:pStyle w:val="Compact"/>
            </w:pPr>
            <w:r>
              <w:t xml:space="preserve">7:08-7:25</w:t>
            </w:r>
          </w:p>
        </w:tc>
        <w:tc>
          <w:tcPr/>
          <w:p>
            <w:pPr>
              <w:pStyle w:val="Compact"/>
            </w:pPr>
            <w:r>
              <w:t xml:space="preserve">Check-in circle: two weeks of practice reported, week-one check-ins debriefed. One-sentence shares, a parent starts the sharing.</w:t>
            </w:r>
          </w:p>
        </w:tc>
        <w:tc>
          <w:tcPr/>
          <w:p>
            <w:pPr>
              <w:pStyle w:val="Compact"/>
            </w:pPr>
            <w:r>
              <w:t xml:space="preserve">Container holder</w:t>
            </w:r>
          </w:p>
        </w:tc>
      </w:tr>
      <w:tr>
        <w:tc>
          <w:tcPr/>
          <w:p>
            <w:pPr>
              <w:pStyle w:val="Compact"/>
            </w:pPr>
            <w:r>
              <w:t xml:space="preserve">7:25-7:31</w:t>
            </w:r>
          </w:p>
        </w:tc>
        <w:tc>
          <w:tcPr/>
          <w:p>
            <w:pPr>
              <w:pStyle w:val="Compact"/>
            </w:pPr>
            <w:r>
              <w:t xml:space="preserve">Block 2: Why tonight — Isaiah 50:10</w:t>
            </w:r>
          </w:p>
        </w:tc>
        <w:tc>
          <w:tcPr/>
          <w:p>
            <w:pPr>
              <w:pStyle w:val="Compact"/>
            </w:pPr>
            <w:r>
              <w:t xml:space="preserve">Content presenter; container holder watching the room</w:t>
            </w:r>
          </w:p>
        </w:tc>
      </w:tr>
      <w:tr>
        <w:tc>
          <w:tcPr/>
          <w:p>
            <w:pPr>
              <w:pStyle w:val="Compact"/>
            </w:pPr>
            <w:r>
              <w:t xml:space="preserve">7:31-7:46</w:t>
            </w:r>
          </w:p>
        </w:tc>
        <w:tc>
          <w:tcPr/>
          <w:p>
            <w:pPr>
              <w:pStyle w:val="Compact"/>
            </w:pPr>
            <w:r>
              <w:t xml:space="preserve">Block 3: The Signs Card — taught by a CiF</w:t>
            </w:r>
          </w:p>
        </w:tc>
        <w:tc>
          <w:tcPr/>
          <w:p>
            <w:pPr>
              <w:pStyle w:val="Compact"/>
            </w:pPr>
            <w:r>
              <w:t xml:space="preserve">Content presenter; container holder watching the room</w:t>
            </w:r>
          </w:p>
        </w:tc>
      </w:tr>
      <w:tr>
        <w:tc>
          <w:tcPr/>
          <w:p>
            <w:pPr>
              <w:pStyle w:val="Compact"/>
            </w:pPr>
            <w:r>
              <w:t xml:space="preserve">7:46-7:55</w:t>
            </w:r>
          </w:p>
        </w:tc>
        <w:tc>
          <w:tcPr/>
          <w:p>
            <w:pPr>
              <w:pStyle w:val="Compact"/>
            </w:pPr>
            <w:r>
              <w:t xml:space="preserve">Block 4: The Path Home Card — taught by a CiF</w:t>
            </w:r>
          </w:p>
        </w:tc>
        <w:tc>
          <w:tcPr/>
          <w:p>
            <w:pPr>
              <w:pStyle w:val="Compact"/>
            </w:pPr>
            <w:r>
              <w:t xml:space="preserve">Content presenter; container holder watching the room</w:t>
            </w:r>
          </w:p>
        </w:tc>
      </w:tr>
      <w:tr>
        <w:tc>
          <w:tcPr/>
          <w:p>
            <w:pPr>
              <w:pStyle w:val="Compact"/>
            </w:pPr>
            <w:r>
              <w:t xml:space="preserve">7:55-8:08</w:t>
            </w:r>
          </w:p>
        </w:tc>
        <w:tc>
          <w:tcPr/>
          <w:p>
            <w:pPr>
              <w:pStyle w:val="Compact"/>
            </w:pPr>
            <w:r>
              <w:t xml:space="preserve">Block 5: The journal arc review</w:t>
            </w:r>
          </w:p>
        </w:tc>
        <w:tc>
          <w:tcPr/>
          <w:p>
            <w:pPr>
              <w:pStyle w:val="Compact"/>
            </w:pPr>
            <w:r>
              <w:t xml:space="preserve">Content presenter; container holder watching the room</w:t>
            </w:r>
          </w:p>
        </w:tc>
      </w:tr>
      <w:tr>
        <w:tc>
          <w:tcPr/>
          <w:p>
            <w:pPr>
              <w:pStyle w:val="Compact"/>
            </w:pPr>
            <w:r>
              <w:t xml:space="preserve">8:08-8:18</w:t>
            </w:r>
          </w:p>
        </w:tc>
        <w:tc>
          <w:tcPr/>
          <w:p>
            <w:pPr>
              <w:pStyle w:val="Compact"/>
            </w:pPr>
            <w:r>
              <w:t xml:space="preserve">Block 6: One sentence, and the testimony gathering</w:t>
            </w:r>
          </w:p>
        </w:tc>
        <w:tc>
          <w:tcPr/>
          <w:p>
            <w:pPr>
              <w:pStyle w:val="Compact"/>
            </w:pPr>
            <w:r>
              <w:t xml:space="preserve">Content presenter; container holder watching the room</w:t>
            </w:r>
          </w:p>
        </w:tc>
      </w:tr>
      <w:tr>
        <w:tc>
          <w:tcPr/>
          <w:p>
            <w:pPr>
              <w:pStyle w:val="Compact"/>
            </w:pPr>
            <w:r>
              <w:t xml:space="preserve">8:18-8:20</w:t>
            </w:r>
          </w:p>
        </w:tc>
        <w:tc>
          <w:tcPr/>
          <w:p>
            <w:pPr>
              <w:pStyle w:val="Compact"/>
            </w:pPr>
            <w:r>
              <w:t xml:space="preserve">Block 7: The Post-Series Survey</w:t>
            </w:r>
          </w:p>
        </w:tc>
        <w:tc>
          <w:tcPr/>
          <w:p>
            <w:pPr>
              <w:pStyle w:val="Compact"/>
            </w:pPr>
            <w:r>
              <w:t xml:space="preserve">Content presenter; container holder watching the room</w:t>
            </w:r>
          </w:p>
        </w:tc>
      </w:tr>
      <w:tr>
        <w:tc>
          <w:tcPr/>
          <w:p>
            <w:pPr>
              <w:pStyle w:val="Compact"/>
            </w:pPr>
            <w:r>
              <w:t xml:space="preserve">8:20-8:24</w:t>
            </w:r>
          </w:p>
        </w:tc>
        <w:tc>
          <w:tcPr/>
          <w:p>
            <w:pPr>
              <w:pStyle w:val="Compact"/>
            </w:pPr>
            <w:r>
              <w:t xml:space="preserve">Homework commissioning: the four-part handout walked; check-in partners named aloud.</w:t>
            </w:r>
          </w:p>
        </w:tc>
        <w:tc>
          <w:tcPr/>
          <w:p>
            <w:pPr>
              <w:pStyle w:val="Compact"/>
            </w:pPr>
            <w:r>
              <w:t xml:space="preserve">Content presenter</w:t>
            </w:r>
          </w:p>
        </w:tc>
      </w:tr>
      <w:tr>
        <w:tc>
          <w:tcPr/>
          <w:p>
            <w:pPr>
              <w:pStyle w:val="Compact"/>
            </w:pPr>
            <w:r>
              <w:t xml:space="preserve">8:24-8:28</w:t>
            </w:r>
          </w:p>
        </w:tc>
        <w:tc>
          <w:tcPr/>
          <w:p>
            <w:pPr>
              <w:pStyle w:val="Compact"/>
            </w:pPr>
            <w:r>
              <w:t xml:space="preserve">Leader Feedback Round, both leaders: what went well, what I would do differently, the teach-back.</w:t>
            </w:r>
          </w:p>
        </w:tc>
        <w:tc>
          <w:tcPr/>
          <w:p>
            <w:pPr>
              <w:pStyle w:val="Compact"/>
            </w:pPr>
            <w:r>
              <w:t xml:space="preserve">Both leaders</w:t>
            </w:r>
          </w:p>
        </w:tc>
      </w:tr>
      <w:tr>
        <w:tc>
          <w:tcPr/>
          <w:p>
            <w:pPr>
              <w:pStyle w:val="Compact"/>
            </w:pPr>
            <w:r>
              <w:t xml:space="preserve">8:28-8:30</w:t>
            </w:r>
          </w:p>
        </w:tc>
        <w:tc>
          <w:tcPr/>
          <w:p>
            <w:pPr>
              <w:pStyle w:val="Compact"/>
            </w:pPr>
            <w:r>
              <w:t xml:space="preserve">Closing container reaffirmed; Aaronic blessing.</w:t>
            </w:r>
          </w:p>
        </w:tc>
        <w:tc>
          <w:tcPr/>
          <w:p>
            <w:pPr>
              <w:pStyle w:val="Compact"/>
            </w:pPr>
            <w:r>
              <w:t xml:space="preserve">Container holder</w:t>
            </w:r>
          </w:p>
        </w:tc>
      </w:tr>
      <w:tr>
        <w:tc>
          <w:tcPr/>
          <w:p>
            <w:pPr>
              <w:pStyle w:val="Compact"/>
            </w:pPr>
            <w:r>
              <w:t xml:space="preserve">8:30-9:00</w:t>
            </w:r>
          </w:p>
        </w:tc>
        <w:tc>
          <w:tcPr/>
          <w:p>
            <w:pPr>
              <w:pStyle w:val="Compact"/>
            </w:pPr>
            <w:r>
              <w:t xml:space="preserve">Fellowship; the room’s feedback to the leaders; the five-question materials debrief; planning the next meeting.</w:t>
            </w:r>
          </w:p>
        </w:tc>
        <w:tc>
          <w:tcPr/>
          <w:p>
            <w:pPr>
              <w:pStyle w:val="Compact"/>
            </w:pPr>
            <w:r>
              <w:t xml:space="preserve">Everyone; John holds the debrief</w:t>
            </w:r>
          </w:p>
        </w:tc>
      </w:tr>
    </w:tbl>
    <w:bookmarkEnd w:id="9"/>
    <w:bookmarkStart w:id="10" w:name="X04b64c3e8b28e8abe274b9b030b879a1a9e314b"/>
    <w:p>
      <w:pPr>
        <w:pStyle w:val="Heading2"/>
      </w:pPr>
      <w:r>
        <w:t>The homework handout (Evening 15, two weeks)</w:t>
      </w:r>
    </w:p>
    <w:p>
      <w:pPr>
        <w:pStyle w:val="Compact"/>
        <w:numPr>
          <w:ilvl w:val="0"/>
          <w:numId w:val="1001"/>
        </w:numPr>
      </w:pPr>
      <w:r>
        <w:rPr>
          <w:b/>
          <w:bCs/>
        </w:rPr>
        <w:t>The homework practice, week one.</w:t>
      </w:r>
      <w:r>
        <w:t xml:space="preserve"> </w:t>
      </w:r>
      <w:r>
        <w:t>Complete the Post-Series Survey (H20.1) — back in the bin at the Evening 16 door. And one small errand that is really a teaching: find both mercy cards at home — the Signs Card and the Path Home Card — and show one other family member where they live.</w:t>
      </w:r>
    </w:p>
    <w:p>
      <w:pPr>
        <w:pStyle w:val="Compact"/>
        <w:numPr>
          <w:ilvl w:val="0"/>
          <w:numId w:val="1001"/>
        </w:numPr>
      </w:pPr>
      <w:r>
        <w:rPr>
          <w:b/>
          <w:bCs/>
        </w:rPr>
        <w:t xml:space="preserve">The end-of-week-one check-in.</w:t>
      </w:r>
      <w:r>
        <w:t xml:space="preserve"> </w:t>
      </w:r>
      <w:r>
        <w:t xml:space="preserve">At the end of week one, connect with the</w:t>
      </w:r>
      <w:r>
        <w:t xml:space="preserve"> </w:t>
      </w:r>
      <w:r>
        <w:t xml:space="preserve">partner you named at commissioning and report how it’s going against the</w:t>
      </w:r>
      <w:r>
        <w:t xml:space="preserve"> </w:t>
      </w:r>
      <w:r>
        <w:t xml:space="preserve">practice.</w:t>
      </w:r>
    </w:p>
    <w:p>
      <w:pPr>
        <w:pStyle w:val="Compact"/>
        <w:numPr>
          <w:ilvl w:val="0"/>
          <w:numId w:val="1001"/>
        </w:numPr>
      </w:pPr>
      <w:r>
        <w:rPr>
          <w:b/>
          <w:bCs/>
        </w:rPr>
        <w:t>The homework practice, week two.</w:t>
      </w:r>
      <w:r>
        <w:t xml:space="preserve"> </w:t>
      </w:r>
      <w:r>
        <w:t xml:space="preserve">Continue or deepen the same practice, as the</w:t>
      </w:r>
      <w:r>
        <w:t xml:space="preserve"> </w:t>
      </w:r>
      <w:r>
        <w:t xml:space="preserve">session specifies; journal what happens.</w:t>
      </w:r>
    </w:p>
    <w:p>
      <w:pPr>
        <w:pStyle w:val="Compact"/>
        <w:numPr>
          <w:ilvl w:val="0"/>
          <w:numId w:val="1001"/>
        </w:numPr>
      </w:pPr>
      <w:r>
        <w:rPr>
          <w:b/>
          <w:bCs/>
        </w:rPr>
        <w:t xml:space="preserve">One sentence of preparation.</w:t>
      </w:r>
      <w:r>
        <w:t xml:space="preserve"> </w:t>
      </w:r>
      <w:r>
        <w:t xml:space="preserve">Set at commissioning from the session’s</w:t>
      </w:r>
      <w:r>
        <w:t xml:space="preserve"> </w:t>
      </w:r>
      <w:r>
        <w:t xml:space="preserve">materials.</w:t>
      </w:r>
    </w:p>
    <w:p>
      <w:pPr>
        <w:pStyle w:val="FirstParagraph"/>
      </w:pPr>
      <w:r>
        <w:rPr>
          <w:i/>
          <w:iCs/>
        </w:rPr>
        <w:t xml:space="preserve">The journal’s standing closer applies: if I were to teach this practice to</w:t>
      </w:r>
      <w:r>
        <w:rPr>
          <w:i/>
          <w:iCs/>
        </w:rPr>
        <w:t xml:space="preserve"> </w:t>
      </w:r>
      <w:r>
        <w:rPr>
          <w:i/>
          <w:iCs/>
        </w:rPr>
        <w:t xml:space="preserve">someone, what would I tell them?</w:t>
      </w:r>
    </w:p>
    <w:bookmarkEnd w:id="10"/>
    <w:bookmarkStart w:id="11" w:name="evening-standing-notes"/>
    <w:p>
      <w:pPr>
        <w:pStyle w:val="Heading2"/>
      </w:pPr>
      <w:r>
        <w:t xml:space="preserve">Evening standing notes</w:t>
      </w:r>
    </w:p>
    <w:p>
      <w:pPr>
        <w:pStyle w:val="Compact"/>
        <w:numPr>
          <w:ilvl w:val="0"/>
          <w:numId w:val="1002"/>
        </w:numPr>
      </w:pPr>
      <w:r>
        <w:t xml:space="preserve">The school version’s watch-fors and crisis contingencies stand; read them</w:t>
      </w:r>
      <w:r>
        <w:t xml:space="preserve"> </w:t>
      </w:r>
      <w:r>
        <w:t xml:space="preserve">in the week file before the planning lab.</w:t>
      </w:r>
    </w:p>
    <w:p>
      <w:pPr>
        <w:pStyle w:val="Compact"/>
        <w:numPr>
          <w:ilvl w:val="0"/>
          <w:numId w:val="1002"/>
        </w:numPr>
      </w:pPr>
      <w:r>
        <w:t xml:space="preserve">Cluster work runs as pairs at home scale; the bright line holds; teen</w:t>
      </w:r>
      <w:r>
        <w:t xml:space="preserve"> </w:t>
      </w:r>
      <w:r>
        <w:t xml:space="preserve">leads hand off to an adult as needed.</w:t>
      </w:r>
    </w:p>
    <w:p>
      <w:pPr>
        <w:pStyle w:val="Compact"/>
        <w:numPr>
          <w:ilvl w:val="0"/>
          <w:numId w:val="1002"/>
        </w:numPr>
      </w:pPr>
      <w:r>
        <w:t xml:space="preserve">The leads split the middle blocks at the planning lab; the Lead column</w:t>
      </w:r>
      <w:r>
        <w:t xml:space="preserve"> </w:t>
      </w:r>
      <w:r>
        <w:t xml:space="preserve">above is the default, not the decision.</w:t>
      </w:r>
    </w:p>
    <w:p>
      <w:pPr>
        <w:pStyle w:val="Compact"/>
        <w:numPr>
          <w:ilvl w:val="0"/>
          <w:numId w:val="1002"/>
        </w:numPr>
      </w:pPr>
      <w:r>
        <w:t>The evening opens on the map.</w:t>
      </w:r>
      <w:r>
        <w:t xml:space="preserve"> The Four Connects grounding slide now opens every session. Evening 15 walks the whole map — all four Connects, consolidated for the road. Each connection makes the next one real (Matt. 22:37–40).</w:t>
      </w:r>
    </w:p>
    <w:p>
      <w:pPr>
        <w:pStyle w:val="Compact"/>
        <w:numPr>
          <w:ilvl w:val="0"/>
          <w:numId w:val="1002"/>
        </w:numPr>
      </w:pPr>
      <w:r>
        <w:t>A pair leads, visibly.</w:t>
      </w:r>
      <w:r>
        <w:t xml:space="preserve"> Name it in the welcome: two leaders hold tonight — container and content — and the room will see the evening handed back and forth between them. That is the design. The pair practices the session together before the evening (at the planning lab, or before dinner), so each knows who is where in the flow.</w:t>
      </w:r>
    </w:p>
    <w:p>
      <w:pPr>
        <w:pStyle w:val="Compact"/>
        <w:numPr>
          <w:ilvl w:val="0"/>
          <w:numId w:val="1002"/>
        </w:numPr>
      </w:pPr>
      <w:r>
        <w:t>Split only if the room needs it.</w:t>
      </w:r>
      <w:r>
        <w:t xml:space="preserve"> Any split-and-merge assumes numbers. With six or so around the table, stay one circle — or drop into quick pair work in place, knee to knee, which does the same work faster. Pair work is also the standing time-recovery lever: a full split-and-merge costs about five minutes.</w:t>
      </w:r>
    </w:p>
    <w:p>
      <w:pPr>
        <w:pStyle w:val="Compact"/>
        <w:numPr>
          <w:ilvl w:val="0"/>
          <w:numId w:val="1002"/>
        </w:numPr>
      </w:pPr>
      <w:r>
        <w:t>The container holder is the busier seat.</w:t>
      </w:r>
      <w:r>
        <w:t xml:space="preserve"> Clock and room both: a continuous read against safe, present, clear, intentional — noticing anyone triggered or checked out. Anything of weight goes to the backstop adult; that handoff is the bright line working, not the container failing.</w:t>
      </w:r>
    </w:p>
    <w:bookmarkEnd w:id="11"/>
    <w:bookmarkEnd w:id="12"/>
    <w:sectPr>
      <w:headerReference w:type="default" r:id="rId9"/>
      <w:footerReference w:type="default" r:id="rId1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2026-09-09T17:07:39Z</dcterms:created>
  <dcterms:modified xsi:type="dcterms:W3CDTF">2026-09-09T17:07:39Z</dcterms:modified>
</cp:coreProperties>
</file>

<file path=docProps/custom.xml><?xml version="1.0" encoding="utf-8"?>
<Properties xmlns="http://schemas.openxmlformats.org/officeDocument/2006/custom-properties" xmlns:vt="http://schemas.openxmlformats.org/officeDocument/2006/docPropsVTypes"/>
</file>