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138816266d7fc471286b7e8c1c818634426629"/>
    <w:p>
      <w:pPr>
        <w:pStyle w:val="Heading1"/>
      </w:pPr>
      <w:r>
        <w:t>Evening 4 — Knowing and Being Known</w:t>
      </w:r>
    </w:p>
    <w:p>
      <w:pPr>
        <w:pStyle w:val="FirstParagraph"/>
      </w:pPr>
      <w:r>
        <w:rPr>
          <w:b/>
          <w:bCs/>
        </w:rPr>
        <w:t xml:space="preserve">For the night the prototype group picks its thread back up, whenever the</w:t>
      </w:r>
      <w:r>
        <w:rPr>
          <w:b/>
          <w:bCs/>
        </w:rPr>
        <w:t xml:space="preserve"> </w:t>
      </w:r>
      <w:r>
        <w:rPr>
          <w:b/>
          <w:bCs/>
        </w:rPr>
        <w:t xml:space="preserve">sequence brings it. Companion to</w:t>
      </w:r>
      <w:r>
        <w:rPr>
          <w:b/>
          <w:bCs/>
        </w:rPr>
        <w:t xml:space="preserve"> </w:t>
      </w:r>
      <w:r>
        <w:rPr>
          <w:rStyle w:val="VerbatimChar"/>
          <w:b/>
          <w:bCs/>
        </w:rPr>
        <w:t xml:space="preserve">docs/getting-started/week-05-known.md</w:t>
      </w:r>
      <w:r>
        <w:rPr>
          <w:b/>
          <w:bCs/>
        </w:rPr>
        <w:t xml:space="preserve">,</w:t>
      </w:r>
      <w:r>
        <w:rPr>
          <w:b/>
          <w:bCs/>
        </w:rPr>
        <w:t xml:space="preserve"> </w:t>
      </w:r>
      <w:r>
        <w:rPr>
          <w:b/>
          <w:bCs/>
        </w:rPr>
        <w:t xml:space="preserve">which keeps the full scripts and notes; this sheet carries what the evening</w:t>
      </w:r>
      <w:r>
        <w:rPr>
          <w:b/>
          <w:bCs/>
        </w:rPr>
        <w:t xml:space="preserve"> </w:t>
      </w:r>
      <w:r>
        <w:rPr>
          <w:b/>
          <w:bCs/>
        </w:rPr>
        <w:t xml:space="preserve">changes.</w:t>
      </w:r>
    </w:p>
    <w:p>
      <w:pPr>
        <w:pStyle w:val="BodyText"/>
      </w:pPr>
      <w:r>
        <w:rPr>
          <w:b/>
          <w:bCs/>
        </w:rPr>
        <w:t xml:space="preserve">Aim (unchanged).</w:t>
      </w:r>
      <w:r>
        <w:t xml:space="preserve"> </w:t>
      </w:r>
      <w:r>
        <w:t xml:space="preserve">Move from Self into Others as the dominant Connect. The</w:t>
      </w:r>
      <w:r>
        <w:t xml:space="preserve"> </w:t>
      </w:r>
      <w:r>
        <w:t xml:space="preserve">container we have been building is the teacher: what makes this room</w:t>
      </w:r>
      <w:r>
        <w:t xml:space="preserve"> </w:t>
      </w:r>
      <w:r>
        <w:t xml:space="preserve">different from the rest of life, and where do those conditions show up, or</w:t>
      </w:r>
      <w:r>
        <w:t xml:space="preserve"> </w:t>
      </w:r>
      <w:r>
        <w:t xml:space="preserve">not, in our actual friendships?</w:t>
      </w:r>
    </w:p>
    <w:p>
      <w:pPr>
        <w:pStyle w:val="BodyText"/>
      </w:pPr>
      <w:r>
        <w:rPr>
          <w:b/>
          <w:bCs/>
        </w:rPr>
        <w:t xml:space="preserve">Anchor.</w:t>
      </w:r>
      <w:r>
        <w:t xml:space="preserve"> </w:t>
      </w:r>
      <w:r>
        <w:t xml:space="preserve">Ecclesiastes 4:9-12.</w:t>
      </w:r>
    </w:p>
    <w:bookmarkStart w:id="9" w:name="what-the-evening-form-changes"/>
    <w:p>
      <w:pPr>
        <w:pStyle w:val="Heading2"/>
      </w:pPr>
      <w:r>
        <w:t xml:space="preserve">What the evening form changes</w:t>
      </w:r>
    </w:p>
    <w:p>
      <w:pPr>
        <w:pStyle w:val="Compact"/>
        <w:numPr>
          <w:ilvl w:val="0"/>
          <w:numId w:val="1001"/>
        </w:numPr>
      </w:pPr>
      <w:r>
        <w:rPr>
          <w:b/>
          <w:bCs/>
        </w:rPr>
        <w:t xml:space="preserve">The check-in carries more.</w:t>
      </w:r>
      <w:r>
        <w:t xml:space="preserve"> </w:t>
      </w:r>
      <w:r>
        <w:t xml:space="preserve">If this is the group’s first evening back,</w:t>
      </w:r>
      <w:r>
        <w:t xml:space="preserve"> </w:t>
      </w:r>
      <w:r>
        <w:t xml:space="preserve">the check-in acknowledges the gap honestly (what survived the pause is</w:t>
      </w:r>
      <w:r>
        <w:t xml:space="preserve"> </w:t>
      </w:r>
      <w:r>
        <w:t xml:space="preserve">data, not failure); on an ordinary cycle it carries two weeks of practice</w:t>
      </w:r>
      <w:r>
        <w:t xml:space="preserve"> </w:t>
      </w:r>
      <w:r>
        <w:t xml:space="preserve">and the end-of-week-one check-in reports.</w:t>
      </w:r>
    </w:p>
    <w:p>
      <w:pPr>
        <w:pStyle w:val="Compact"/>
        <w:numPr>
          <w:ilvl w:val="0"/>
          <w:numId w:val="1001"/>
        </w:numPr>
      </w:pPr>
      <w:r>
        <w:rPr>
          <w:b/>
          <w:bCs/>
        </w:rPr>
        <w:t xml:space="preserve">The teaching is the container holder’s own charge.</w:t>
      </w:r>
      <w:r>
        <w:t xml:space="preserve"> </w:t>
      </w:r>
      <w:r>
        <w:t xml:space="preserve">The four</w:t>
      </w:r>
      <w:r>
        <w:t xml:space="preserve"> </w:t>
      </w:r>
      <w:r>
        <w:t xml:space="preserve">conditions are the very things the container holder carries (safety and</w:t>
      </w:r>
      <w:r>
        <w:t xml:space="preserve"> </w:t>
      </w:r>
      <w:r>
        <w:t xml:space="preserve">warmth, presence, clear and intentional). The content presenter teaches</w:t>
      </w:r>
      <w:r>
        <w:t xml:space="preserve"> </w:t>
      </w:r>
      <w:r>
        <w:t xml:space="preserve">them; the container holder embodies them in real time. The room gets the</w:t>
      </w:r>
      <w:r>
        <w:t xml:space="preserve"> </w:t>
      </w:r>
      <w:r>
        <w:t xml:space="preserve">lesson twice.</w:t>
      </w:r>
    </w:p>
    <w:p>
      <w:pPr>
        <w:pStyle w:val="Compact"/>
        <w:numPr>
          <w:ilvl w:val="0"/>
          <w:numId w:val="1001"/>
        </w:numPr>
      </w:pPr>
      <w:r>
        <w:rPr>
          <w:b/>
          <w:bCs/>
        </w:rPr>
        <w:t xml:space="preserve">Clusters at home scale.</w:t>
      </w:r>
      <w:r>
        <w:t xml:space="preserve"> </w:t>
      </w:r>
      <w:r>
        <w:t xml:space="preserve">The school version splits into family</w:t>
      </w:r>
      <w:r>
        <w:t xml:space="preserve"> </w:t>
      </w:r>
      <w:r>
        <w:t xml:space="preserve">clusters; at this table the split is parent pair and teen pair (or one</w:t>
      </w:r>
      <w:r>
        <w:t xml:space="preserve"> </w:t>
      </w:r>
      <w:r>
        <w:t xml:space="preserve">circle if the room is small enough to stay honest).</w:t>
      </w:r>
    </w:p>
    <w:p>
      <w:pPr>
        <w:pStyle w:val="Compact"/>
        <w:numPr>
          <w:ilvl w:val="0"/>
          <w:numId w:val="1001"/>
        </w:numPr>
      </w:pPr>
      <w:r>
        <w:rPr>
          <w:b/>
          <w:bCs/>
        </w:rPr>
        <w:t>The evening opens on the map.</w:t>
      </w:r>
      <w:r>
        <w:t xml:space="preserve"> The Four Connects grounding slide now opens every session — the first four weeks were Connect with Self; tonight stands in the second box, Connect with Others. The four conditions of friendship are how connecting with others can be a basis for loving others (foundational, not exhaustive) (Matt. 22:37–40).</w:t>
      </w:r>
    </w:p>
    <w:p>
      <w:pPr>
        <w:pStyle w:val="Compact"/>
        <w:numPr>
          <w:ilvl w:val="0"/>
          <w:numId w:val="1001"/>
        </w:numPr>
      </w:pPr>
      <w:r>
        <w:rPr>
          <w:b/>
          <w:bCs/>
        </w:rP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1"/>
        </w:numPr>
      </w:pPr>
      <w:r>
        <w:rPr>
          <w:b/>
          <w:bCs/>
        </w:rPr>
        <w:t>Split only if the room needs it.</w:t>
      </w:r>
      <w:r>
        <w:t xml:space="preserve"> The mapping block’s split-and-merge assumes numbers. With six or so around the table, stay one circle — or drop into quick pair work in place, knee to knee, which does the same work faster. Pair work is also the standing time-recovery lever: a full split-and-merge costs about five minutes. (The 9/15 running finished ten minutes early without a split.)</w:t>
      </w:r>
    </w:p>
    <w:p>
      <w:pPr>
        <w:pStyle w:val="Compact"/>
        <w:numPr>
          <w:ilvl w:val="0"/>
          <w:numId w:val="1001"/>
        </w:numPr>
      </w:pPr>
      <w:r>
        <w:rPr>
          <w:b/>
          <w:bCs/>
        </w:rP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p>
      <w:pPr>
        <w:pStyle w:val="Compact"/>
        <w:numPr>
          <w:ilvl w:val="0"/>
          <w:numId w:val="1001"/>
        </w:numPr>
      </w:pPr>
      <w:r>
        <w:rPr>
          <w:b/>
          <w:bCs/>
        </w:rPr>
        <w:t>More than the four.</w:t>
      </w:r>
      <w:r>
        <w:t xml:space="preserve"> New wrap-up at the merge’s tail (two minutes, content presenter): the four conditions are foundational — what makes a close friendship possible — but a good friend reaches you in more ways: they give you energy, you walk away uplifted, they are warm and caring, maybe even funny. And these are a way to choose which friendships to deepen with this process and intentionality.</w:t>
      </w:r>
    </w:p>
    <w:bookmarkEnd w:id="9"/>
    <w:bookmarkStart w:id="10"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(or the long pause) reported; week-one check-ins debriefed. One-sentence shares, a parent starts the sharing.</w:t>
            </w:r>
          </w:p>
        </w:tc>
        <w:tc>
          <w:tcPr/>
          <w:p>
            <w:pPr>
              <w:pStyle w:val="Compact"/>
            </w:pPr>
            <w:r>
              <w:t xml:space="preserve">Container holder</w:t>
            </w:r>
          </w:p>
        </w:tc>
      </w:tr>
      <w:tr>
        <w:tc>
          <w:tcPr/>
          <w:p>
            <w:pPr>
              <w:pStyle w:val="Compact"/>
            </w:pPr>
            <w:r>
              <w:t xml:space="preserve">7:25-7:42</w:t>
            </w:r>
          </w:p>
        </w:tc>
        <w:tc>
          <w:tcPr/>
          <w:p>
            <w:pPr>
              <w:pStyle w:val="Compact"/>
            </w:pPr>
            <w:r>
              <w:t xml:space="preserve">The four conditions, taught: Ecclesiastes 4:9-12 read aloud; walk Safe, Present, Clear, Intentional.</w:t>
            </w:r>
          </w:p>
        </w:tc>
        <w:tc>
          <w:tcPr/>
          <w:p>
            <w:pPr>
              <w:pStyle w:val="Compact"/>
            </w:pPr>
            <w:r>
              <w:t xml:space="preserve">Content presenter</w:t>
            </w:r>
          </w:p>
        </w:tc>
      </w:tr>
      <w:tr>
        <w:tc>
          <w:tcPr/>
          <w:p>
            <w:pPr>
              <w:pStyle w:val="Compact"/>
            </w:pPr>
            <w:r>
              <w:t xml:space="preserve">7:42-8:08</w:t>
            </w:r>
          </w:p>
        </w:tc>
        <w:tc>
          <w:tcPr/>
          <w:p>
            <w:pPr>
              <w:pStyle w:val="Compact"/>
            </w:pPr>
            <w:r>
              <w:t xml:space="preserve">Friendship mapping: each person works the four conditions through their real friendships, in pairs; then pairs share what they choose.</w:t>
            </w:r>
          </w:p>
        </w:tc>
        <w:tc>
          <w:tcPr/>
          <w:p>
            <w:pPr>
              <w:pStyle w:val="Compact"/>
            </w:pPr>
            <w:r>
              <w:t xml:space="preserve">Content presenter, container holder watching the room</w:t>
            </w:r>
          </w:p>
        </w:tc>
      </w:tr>
      <w:tr>
        <w:tc>
          <w:tcPr/>
          <w:p>
            <w:pPr>
              <w:pStyle w:val="Compact"/>
            </w:pPr>
            <w:r>
              <w:t xml:space="preserve">8:08-8:20</w:t>
            </w:r>
          </w:p>
        </w:tc>
        <w:tc>
          <w:tcPr/>
          <w:p>
            <w:pPr>
              <w:pStyle w:val="Compact"/>
            </w:pPr>
            <w:r>
              <w:t>Shared circle: common patterns surfaced, no names. Parents first. At the tail, the teaching’s wrap-up: more than the four (content presenter).</w:t>
            </w:r>
          </w:p>
        </w:tc>
        <w:tc>
          <w:tcPr/>
          <w:p>
            <w:pPr>
              <w:pStyle w:val="Compact"/>
            </w:pPr>
            <w:r>
              <w:t xml:space="preserve">Container holder</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10"/>
    <w:bookmarkStart w:id="11" w:name="the-homework-handout-session-5-two-weeks"/>
    <w:p>
      <w:pPr>
        <w:pStyle w:val="Heading2"/>
      </w:pPr>
      <w:r>
        <w:t>The homework handout (Evening 4, two weeks)</w:t>
      </w:r>
    </w:p>
    <w:p>
      <w:pPr>
        <w:pStyle w:val="Compact"/>
        <w:numPr>
          <w:ilvl w:val="0"/>
          <w:numId w:val="1002"/>
        </w:numPr>
      </w:pPr>
      <w:r>
        <w:rPr>
          <w:b/>
          <w:bCs/>
        </w:rPr>
        <w:t xml:space="preserve">The homework practice, week one. </w:t>
      </w:r>
      <w:r>
        <w:t>Pick one relationship where you’d like a little more of one condition — a friend, a sibling, a parent, a teammate. It doesn’t have to be your closest. Pick one of the four conditions (Safe, Present, Clear, Intentional) and practice offering it there, a little more than usual. You are practicing what you give, not testing them: how they respond is not a grade on you. Journal what you notice. If this stirs something hard. Looking at friendships can bring up loneliness, a friendship that has hurt you, or one that has faded. That is real, and it is worth noticing — not fixing this week. You can choose an easier relationship, or set the practice down for a few days. And tell someone you trust: your check-in partner, a parent, or one of the leaders. You are not meant to carry the heavy things alone.</w:t>
      </w:r>
    </w:p>
    <w:p>
      <w:pPr>
        <w:pStyle w:val="Compact"/>
        <w:numPr>
          <w:ilvl w:val="0"/>
          <w:numId w:val="1002"/>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2"/>
        </w:numPr>
      </w:pPr>
      <w:r>
        <w:rPr>
          <w:b/>
          <w:bCs/>
        </w:rPr>
        <w:t xml:space="preserve">The homework practice, week two. </w:t>
      </w:r>
      <w:r>
        <w:t>Same relationship — or a different one, if the first was too heavy. A second condition, or the same one deeper if the first week opened something. Journal what you notice.</w:t>
      </w:r>
    </w:p>
    <w:p>
      <w:pPr>
        <w:pStyle w:val="Compact"/>
        <w:numPr>
          <w:ilvl w:val="0"/>
          <w:numId w:val="1002"/>
        </w:numPr>
      </w:pPr>
      <w:r>
        <w:rPr>
          <w:b/>
          <w:bCs/>
        </w:rPr>
        <w:t xml:space="preserve">One sentence of preparation. </w:t>
      </w:r>
      <w:r>
        <w:t>Before we meet, finish this sentence in your journal: “Someone who has made me feel safe is ________, and what they did was ________.”</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1"/>
    <w:bookmarkStart w:id="12" w:name="watch-fors-evening-additions"/>
    <w:p>
      <w:pPr>
        <w:pStyle w:val="Heading2"/>
      </w:pPr>
      <w:r>
        <w:t xml:space="preserve">Watch-fors, evening additions</w:t>
      </w:r>
    </w:p>
    <w:p>
      <w:pPr>
        <w:pStyle w:val="FirstParagraph"/>
      </w:pPr>
      <w:r>
        <w:t xml:space="preserve">The school version’s watch-fors stand. Two more:</w:t>
      </w:r>
    </w:p>
    <w:p>
      <w:pPr>
        <w:pStyle w:val="Compact"/>
        <w:numPr>
          <w:ilvl w:val="0"/>
          <w:numId w:val="1003"/>
        </w:numPr>
      </w:pPr>
      <w:r>
        <w:rPr>
          <w:b/>
          <w:bCs/>
        </w:rPr>
        <w:t xml:space="preserve">Friendship material can carry weight</w:t>
      </w:r>
      <w:r>
        <w:t xml:space="preserve"> </w:t>
      </w:r>
      <w:r>
        <w:t xml:space="preserve">(the friend who left, the</w:t>
      </w:r>
      <w:r>
        <w:t xml:space="preserve"> </w:t>
      </w:r>
      <w:r>
        <w:t xml:space="preserve">betrayal, the loneliness). The backstop adult stays attentive through the</w:t>
      </w:r>
      <w:r>
        <w:t xml:space="preserve"> </w:t>
      </w:r>
      <w:r>
        <w:t xml:space="preserve">mapping block; anything heavy hands off per the leader’s guidelines previously discussed.</w:t>
      </w:r>
    </w:p>
    <w:p>
      <w:pPr>
        <w:pStyle w:val="Compact"/>
        <w:numPr>
          <w:ilvl w:val="0"/>
          <w:numId w:val="1003"/>
        </w:numPr>
      </w:pPr>
      <w:r>
        <w:rPr>
          <w:b/>
          <w:bCs/>
        </w:rPr>
        <w:t xml:space="preserve">The pause-gap comparison.</w:t>
      </w:r>
      <w:r>
        <w:t xml:space="preserve"> </w:t>
      </w:r>
      <w:r>
        <w:t xml:space="preserve">If this follows a long break, resist letting</w:t>
      </w:r>
      <w:r>
        <w:t xml:space="preserve"> </w:t>
      </w:r>
      <w:r>
        <w:t xml:space="preserve">the check-in become a referendum on faithfulness. What survived the break</w:t>
      </w:r>
      <w:r>
        <w:t xml:space="preserve"> </w:t>
      </w:r>
      <w:r>
        <w:t xml:space="preserve">is the finding; shame is not on the agenda.</w:t>
      </w:r>
    </w:p>
    <w:bookmarkEnd w:id="12"/>
    <w:bookmarkEnd w:id="13"/>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2026-09-09T17:07:35Z</dcterms:created>
  <dcterms:modified xsi:type="dcterms:W3CDTF">2026-09-09T17:07:35Z</dcterms:modified>
</cp:coreProperties>
</file>

<file path=docProps/custom.xml><?xml version="1.0" encoding="utf-8"?>
<Properties xmlns="http://schemas.openxmlformats.org/officeDocument/2006/custom-properties" xmlns:vt="http://schemas.openxmlformats.org/officeDocument/2006/docPropsVTypes"/>
</file>