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ake-home-sheet-session-12-the-return"/>
    <w:p>
      <w:pPr>
        <w:pStyle w:val="Heading1"/>
      </w:pPr>
      <w:r>
        <w:t>Take-Home Sheet — Evening 9: The Return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 xml:space="preserve">Restart (or continue) one daily practice — just one — chosen tonight and written in the journal. Not the whole rhythm. One.</w:t>
      </w:r>
    </w:p>
    <w:bookmarkEnd w:id="9"/>
    <w:bookmarkStart w:id="10" w:name="the-end-of-week-one-check-in"/>
    <w:p>
      <w:pPr>
        <w:spacing w:after="140"/>
      </w:pPr>
      <w:r>
        <w:rPr>
          <w:i/>
          <w:iCs/>
          <w:sz w:val="20"/>
          <w:szCs w:val="20"/>
        </w:rPr>
        <w:t>One box per 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spacing w:after="140"/>
      </w:pPr>
      <w:r>
        <w:rPr>
          <w:i/>
          <w:iCs/>
          <w:sz w:val="20"/>
          <w:szCs w:val="20"/>
        </w:rPr>
        <w:t>One box per 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  <w:pgMar w:top="864" w:bottom="864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2026-09-09T21:53:42Z</dcterms:created>
  <dcterms:modified xsi:type="dcterms:W3CDTF">2026-09-09T21:53:42Z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