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95cf74c31335a20ad5c2a367e0d5031a7b556e6"/>
    <w:p>
      <w:pPr>
        <w:pStyle w:val="Heading1"/>
      </w:pPr>
      <w:r>
        <w:t>Take-Home Sheet — Evening 11: The Rhythm and the Four Questions</w:t>
      </w:r>
    </w:p>
    <w:p>
      <w:r>
        <w:pict>
          <v:rect style="width:0;height:1.5pt" o:hralign="center" o:hrstd="t" o:hr="t"/>
        </w:pict>
      </w:r>
    </w:p>
    <w:p>
      <w:pPr>
        <w:spacing w:after="140"/>
      </w:pPr>
      <w:r>
        <w:rPr>
          <w:b/>
          <w:bCs/>
        </w:rPr>
        <w:t xml:space="preserve">The standing practice — every day, both weeks. </w:t>
      </w:r>
      <w:r>
        <w:t xml:space="preserve">Morning, five minutes: “Lord, what are you up to today, and what do you want me to notice?” Evening, one journal line: “What did I notice today?”</w:t>
      </w:r>
    </w:p>
    <w:p>
      <w:pPr>
        <w:spacing w:after="140"/>
      </w:pPr>
      <w:r>
        <w:rPr>
          <w:b/>
          <w:bCs/>
        </w:rPr>
        <w:t xml:space="preserve">Week one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w:t>
            </w:r>
          </w:p>
        </w:tc>
        <w:tc>
          <w:tcPr/>
          <w:p>
            <w:pPr>
              <w:pStyle w:val="Compact"/>
              <w:jc w:val="center"/>
            </w:pPr>
            <w:r>
              <w:t xml:space="preserve">Tu</w:t>
            </w:r>
          </w:p>
        </w:tc>
        <w:tc>
          <w:tcPr/>
          <w:p>
            <w:pPr>
              <w:pStyle w:val="Compact"/>
              <w:jc w:val="center"/>
            </w:pPr>
            <w:r>
              <w:t xml:space="preserve">W</w:t>
            </w:r>
          </w:p>
        </w:tc>
        <w:tc>
          <w:tcPr/>
          <w:p>
            <w:pPr>
              <w:pStyle w:val="Compact"/>
              <w:jc w:val="center"/>
            </w:pPr>
            <w:r>
              <w:t xml:space="preserve">Th</w:t>
            </w:r>
          </w:p>
        </w:tc>
        <w:tc>
          <w:tcPr/>
          <w:p>
            <w:pPr>
              <w:pStyle w:val="Compact"/>
              <w:jc w:val="center"/>
            </w:pPr>
            <w:r>
              <w:t xml:space="preserve">F</w:t>
            </w:r>
          </w:p>
        </w:tc>
        <w:tc>
          <w:tcPr/>
          <w:p>
            <w:pPr>
              <w:pStyle w:val="Compact"/>
              <w:jc w:val="center"/>
            </w:pPr>
            <w:r>
              <w:t xml:space="preserve">Sa</w:t>
            </w:r>
          </w:p>
        </w:tc>
        <w:tc>
          <w:tcPr/>
          <w:p>
            <w:pPr>
              <w:pStyle w:val="Compact"/>
              <w:jc w:val="center"/>
            </w:pPr>
            <w:r>
              <w:t xml:space="preserve">Su</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spacing w:after="140"/>
      </w:pPr>
      <w:r>
        <w:rPr>
          <w:b/>
          <w:bCs/>
        </w:rPr>
        <w:t xml:space="preserve">Week two</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w:t>
            </w:r>
          </w:p>
        </w:tc>
        <w:tc>
          <w:tcPr/>
          <w:p>
            <w:pPr>
              <w:pStyle w:val="Compact"/>
              <w:jc w:val="center"/>
            </w:pPr>
            <w:r>
              <w:t xml:space="preserve">Tu</w:t>
            </w:r>
          </w:p>
        </w:tc>
        <w:tc>
          <w:tcPr/>
          <w:p>
            <w:pPr>
              <w:pStyle w:val="Compact"/>
              <w:jc w:val="center"/>
            </w:pPr>
            <w:r>
              <w:t xml:space="preserve">W</w:t>
            </w:r>
          </w:p>
        </w:tc>
        <w:tc>
          <w:tcPr/>
          <w:p>
            <w:pPr>
              <w:pStyle w:val="Compact"/>
              <w:jc w:val="center"/>
            </w:pPr>
            <w:r>
              <w:t xml:space="preserve">Th</w:t>
            </w:r>
          </w:p>
        </w:tc>
        <w:tc>
          <w:tcPr/>
          <w:p>
            <w:pPr>
              <w:pStyle w:val="Compact"/>
              <w:jc w:val="center"/>
            </w:pPr>
            <w:r>
              <w:t xml:space="preserve">F</w:t>
            </w:r>
          </w:p>
        </w:tc>
        <w:tc>
          <w:tcPr/>
          <w:p>
            <w:pPr>
              <w:pStyle w:val="Compact"/>
              <w:jc w:val="center"/>
            </w:pPr>
            <w:r>
              <w:t xml:space="preserve">Sa</w:t>
            </w:r>
          </w:p>
        </w:tc>
        <w:tc>
          <w:tcPr/>
          <w:p>
            <w:pPr>
              <w:pStyle w:val="Compact"/>
              <w:jc w:val="center"/>
            </w:pPr>
            <w:r>
              <w:t xml:space="preserve">Su</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spacing w:after="140"/>
      </w:pPr>
      <w:r>
        <w:rPr>
          <w:i/>
          <w:iCs/>
          <w:sz w:val="20"/>
          <w:szCs w:val="20"/>
        </w:rPr>
        <w:t xml:space="preserve">One box per day. A missed box is never a failure — it is an invitation to return.</w:t>
      </w:r>
    </w:p>
    <w:bookmarkStart w:id="9" w:name="the-practice-week-one"/>
    <w:p>
      <w:pPr>
        <w:pStyle w:val="Heading2"/>
      </w:pPr>
      <w:r>
        <w:t>1. The homework practice — week one</w:t>
      </w:r>
    </w:p>
    <w:p>
      <w:pPr>
        <w:pStyle w:val="FirstParagraph"/>
      </w:pPr>
      <w:r>
        <w:t xml:space="preserve">For the willing: the parent asks their teen the four questions at home — unhurried, no audience, phone away — and receives the answers without defending. Married parents are encouraged to also ask their spouse, separately. And everyone runs the Rhythm Card as built, for real, across the break, noting in the journal where it held and where it slipped.</w:t>
      </w:r>
    </w:p>
    <w:bookmarkEnd w:id="9"/>
    <w:bookmarkStart w:id="10" w:name="the-end-of-week-one-check-in"/>
    <w:p>
      <w:pPr>
        <w:pStyle w:val="Heading2"/>
      </w:pPr>
      <w:r>
        <w:t xml:space="preserve">2. The end-of-week-one check-in</w:t>
      </w:r>
    </w:p>
    <w:p>
      <w:pPr>
        <w:pStyle w:val="FirstParagraph"/>
      </w:pPr>
      <w:r>
        <w:t xml:space="preserve">My check-in partner for this cycle is:</w:t>
      </w:r>
      <w:r>
        <w:t xml:space="preserve"> </w:t>
      </w:r>
      <w:r>
        <w:rPr>
          <w:b/>
          <w:bCs/>
        </w:rPr>
        <w:t xml:space="preserve">______________________</w:t>
      </w:r>
      <w:r>
        <w:t xml:space="preserve"> </w:t>
      </w:r>
      <w:r>
        <w:rPr>
          <w:i/>
          <w:iCs/>
        </w:rPr>
        <w:t xml:space="preserve">(named aloud at commissioning; a new partner each cycle)</w:t>
      </w:r>
    </w:p>
    <w:p>
      <w:pPr>
        <w:pStyle w:val="BodyText"/>
      </w:pPr>
      <w:r>
        <w:t xml:space="preserve">At the end of week one, connect with your partner and report how it’s going</w:t>
      </w:r>
      <w:r>
        <w:t xml:space="preserve"> </w:t>
      </w:r>
      <w:r>
        <w:t xml:space="preserve">against the practice. A text, a call, or a hallway conversation all count.</w:t>
      </w:r>
      <w:r>
        <w:t xml:space="preserve"> </w:t>
      </w:r>
      <w:r>
        <w:t xml:space="preserve">You are not grading each other; you are expecting each other.</w:t>
      </w:r>
      <w:r>
        <w:t xml:space="preserve"> </w:t>
      </w:r>
      <w:r>
        <w:rPr>
          <w:b/>
          <w:bCs/>
        </w:rPr>
        <w:t xml:space="preserve">Done:</w:t>
      </w:r>
      <w:r>
        <w:t xml:space="preserve"> </w:t>
      </w:r>
      <w:r>
        <w:t xml:space="preserve">☐</w:t>
      </w:r>
    </w:p>
    <w:bookmarkEnd w:id="10"/>
    <w:bookmarkStart w:id="11" w:name="the-practice-week-two"/>
    <w:p>
      <w:pPr>
        <w:pStyle w:val="Heading2"/>
      </w:pPr>
      <w:r>
        <w:t>3. The homework practice — week two</w:t>
      </w:r>
    </w:p>
    <w:p>
      <w:pPr>
        <w:pStyle w:val="FirstParagraph"/>
      </w:pPr>
      <w:r>
        <w:t xml:space="preserve">Continue or deepen the same practice, as the session specifies; journal</w:t>
      </w:r>
      <w:r>
        <w:t xml:space="preserve"> </w:t>
      </w:r>
      <w:r>
        <w:t xml:space="preserve">what happens.</w:t>
      </w:r>
    </w:p>
    <w:bookmarkEnd w:id="11"/>
    <w:bookmarkStart w:id="12" w:name="one-sentence-of-preparation"/>
    <w:p>
      <w:pPr>
        <w:pStyle w:val="Heading2"/>
      </w:pPr>
      <w:r>
        <w:t xml:space="preserve">4. One sentence of preparation</w:t>
      </w:r>
    </w:p>
    <w:p>
      <w:pPr>
        <w:pStyle w:val="FirstParagraph"/>
      </w:pPr>
      <w:r>
        <w:t xml:space="preserve">Set at commissioning from the session’s materials.</w:t>
      </w:r>
      <w:r>
        <w:t xml:space="preserve"> </w:t>
      </w:r>
      <w:r>
        <w:rPr>
          <w:b/>
          <w:bCs/>
        </w:rPr>
        <w:t xml:space="preserve">Done:</w:t>
      </w:r>
      <w:r>
        <w:t xml:space="preserve"> </w:t>
      </w:r>
      <w:r>
        <w:t xml:space="preserve">☐</w:t>
      </w:r>
    </w:p>
    <w:p>
      <w:r>
        <w:pict>
          <v:rect style="width:0;height:1.5pt" o:hralign="center" o:hrstd="t" o:hr="t"/>
        </w:pict>
      </w:r>
    </w:p>
    <w:bookmarkEnd w:id="12"/>
    <w:bookmarkEnd w:id="13"/>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2026-09-09T21:53:43Z</dcterms:created>
  <dcterms:modified xsi:type="dcterms:W3CDTF">2026-09-09T21:53:43Z</dcterms:modified>
</cp:coreProperties>
</file>

<file path=docProps/custom.xml><?xml version="1.0" encoding="utf-8"?>
<Properties xmlns="http://schemas.openxmlformats.org/officeDocument/2006/custom-properties" xmlns:vt="http://schemas.openxmlformats.org/officeDocument/2006/docPropsVTypes"/>
</file>