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3" w:name="Xf3108a5db98594cb727bdcf2e2280238e3e91ad"/>
    <w:p>
      <w:pPr>
        <w:pStyle w:val="Heading1"/>
      </w:pPr>
      <w:r>
        <w:t>Take-Home Sheet — Evening 4: Knowing and Being Known</w:t>
      </w:r>
    </w:p>
    <w:p>
      <w:r>
        <w:pict>
          <v:rect style="width:0;height:1.5pt" o:hralign="center" o:hrstd="t" o:hr="t"/>
        </w:pict>
      </w:r>
    </w:p>
    <w:p>
      <w:pPr>
        <w:spacing w:after="140"/>
      </w:pPr>
      <w:r>
        <w:rPr>
          <w:b/>
          <w:bCs/>
        </w:rPr>
        <w:t xml:space="preserve">The standing practice — every day, both weeks. </w:t>
      </w:r>
      <w:r>
        <w:t xml:space="preserve">Morning, five minutes: “Lord, what are you up to today, and what do you want me to notice?” Evening, one journal line: “What did I notice today?”</w:t>
      </w:r>
    </w:p>
    <w:p>
      <w:pPr>
        <w:spacing w:after="140"/>
      </w:pPr>
      <w:r>
        <w:rPr>
          <w:b/>
          <w:bCs/>
        </w:rPr>
        <w:t xml:space="preserve">Week one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M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Tu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W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Th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Sa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Su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☐</w:t>
            </w:r>
          </w:p>
        </w:tc>
      </w:tr>
    </w:tbl>
    <w:p>
      <w:pPr>
        <w:spacing w:after="140"/>
      </w:pPr>
      <w:r>
        <w:rPr>
          <w:b/>
          <w:bCs/>
        </w:rPr>
        <w:t xml:space="preserve">Week two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M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Tu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W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Th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Sa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Su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☐</w:t>
            </w:r>
          </w:p>
        </w:tc>
      </w:tr>
    </w:tbl>
    <w:p>
      <w:pPr>
        <w:spacing w:after="140"/>
      </w:pPr>
      <w:r>
        <w:rPr>
          <w:i/>
          <w:iCs/>
          <w:sz w:val="20"/>
          <w:szCs w:val="20"/>
        </w:rPr>
        <w:t xml:space="preserve">One box per day. A missed box is never a failure — it is an invitation to return.</w:t>
      </w:r>
    </w:p>
    <w:bookmarkStart w:id="9" w:name="the-practice-week-one"/>
    <w:p>
      <w:pPr>
        <w:pStyle w:val="Heading2"/>
      </w:pPr>
      <w:r>
        <w:t>1. The homework practice — week one</w:t>
      </w:r>
    </w:p>
    <w:p>
      <w:pPr>
        <w:pStyle w:val="FirstParagraph"/>
      </w:pPr>
      <w:r>
        <w:rPr>
          <w:b w:val="0"/>
          <w:i w:val="0"/>
        </w:rPr>
        <w:t xml:space="preserve">Pick one relationship where you’d like a little more of one condition — a friend, a sibling, a parent, a teammate. It doesn’t have to be your closest. Pick one of the four conditions (Safe, Present, Clear, Intentional) and practice </w:t>
      </w:r>
      <w:r>
        <w:rPr>
          <w:b w:val="0"/>
          <w:i/>
        </w:rPr>
        <w:t>offering</w:t>
      </w:r>
      <w:r>
        <w:rPr>
          <w:b w:val="0"/>
          <w:i w:val="0"/>
        </w:rPr>
        <w:t xml:space="preserve"> it there, a little more than usual. You are practicing what you give, not testing them: how they respond is not a grade on you. Journal what you notice.</w:t>
      </w:r>
    </w:p>
    <w:p>
      <w:pPr>
        <w:pStyle w:val="FirstParagraph"/>
      </w:pPr>
      <w:r>
        <w:rPr>
          <w:b/>
          <w:i w:val="0"/>
        </w:rPr>
        <w:t xml:space="preserve">If this stirs something hard. </w:t>
      </w:r>
      <w:r>
        <w:rPr>
          <w:b w:val="0"/>
          <w:i/>
        </w:rPr>
        <w:t>Looking at friendships can bring up loneliness, a friendship that has hurt you, or one that has faded. That is real, and it is worth noticing — not fixing this week. You can choose an easier relationship, or set the practice down for a few days. And tell someone you trust: your check-in partner, a parent, or one of the leaders. You are not meant to carry the heavy things alone.</w:t>
      </w:r>
    </w:p>
    <w:bookmarkEnd w:id="9"/>
    <w:bookmarkStart w:id="10" w:name="the-end-of-week-one-check-in"/>
    <w:p>
      <w:pPr>
        <w:pStyle w:val="Heading2"/>
      </w:pPr>
      <w:r>
        <w:t xml:space="preserve">2. The end-of-week-one check-in</w:t>
      </w:r>
    </w:p>
    <w:p>
      <w:pPr>
        <w:pStyle w:val="FirstParagraph"/>
      </w:pPr>
      <w:r>
        <w:t xml:space="preserve">My check-in partner for this cycle is:</w:t>
      </w:r>
      <w:r>
        <w:t xml:space="preserve"> </w:t>
      </w:r>
      <w:r>
        <w:rPr>
          <w:b/>
          <w:bCs/>
        </w:rPr>
        <w:t xml:space="preserve">______________________</w:t>
      </w:r>
      <w:r>
        <w:t xml:space="preserve"> </w:t>
      </w:r>
      <w:r>
        <w:rPr>
          <w:i/>
          <w:iCs/>
        </w:rPr>
        <w:t xml:space="preserve">(named aloud at commissioning; a new partner each cycle)</w:t>
      </w:r>
    </w:p>
    <w:p>
      <w:pPr>
        <w:pStyle w:val="BodyText"/>
      </w:pPr>
      <w:r>
        <w:t xml:space="preserve">At the end of week one, connect with your partner and report how it’s going</w:t>
      </w:r>
      <w:r>
        <w:t xml:space="preserve"> </w:t>
      </w:r>
      <w:r>
        <w:t xml:space="preserve">against the practice. A text, a call, or a hallway conversation all count.</w:t>
      </w:r>
      <w:r>
        <w:t xml:space="preserve"> </w:t>
      </w:r>
      <w:r>
        <w:t xml:space="preserve">You are not grading each other; you are expecting each other.</w:t>
      </w:r>
      <w:r>
        <w:t xml:space="preserve"> </w:t>
      </w:r>
      <w:r>
        <w:rPr>
          <w:b/>
          <w:bCs/>
        </w:rPr>
        <w:t xml:space="preserve">Done:</w:t>
      </w:r>
      <w:r>
        <w:t xml:space="preserve"> </w:t>
      </w:r>
      <w:r>
        <w:t xml:space="preserve">☐</w:t>
      </w:r>
    </w:p>
    <w:bookmarkEnd w:id="10"/>
    <w:bookmarkStart w:id="11" w:name="the-practice-week-two"/>
    <w:p>
      <w:pPr>
        <w:pStyle w:val="Heading2"/>
      </w:pPr>
      <w:r>
        <w:t>3. The homework practice — week two</w:t>
      </w:r>
    </w:p>
    <w:p>
      <w:pPr>
        <w:pStyle w:val="FirstParagraph"/>
      </w:pPr>
      <w:r>
        <w:rPr>
          <w:b w:val="0"/>
          <w:i w:val="0"/>
        </w:rPr>
        <w:t>Same relationship — or a different one, if the first was too heavy. A second condition, or the same one deeper if the first week opened something. Journal what you notice.</w:t>
      </w:r>
    </w:p>
    <w:bookmarkEnd w:id="11"/>
    <w:bookmarkStart w:id="12" w:name="one-sentence-of-preparation"/>
    <w:p>
      <w:pPr>
        <w:pStyle w:val="Heading2"/>
      </w:pPr>
      <w:r>
        <w:t xml:space="preserve">4. One sentence of preparation</w:t>
      </w:r>
    </w:p>
    <w:p>
      <w:pPr>
        <w:pStyle w:val="FirstParagraph"/>
      </w:pPr>
      <w:r>
        <w:rPr>
          <w:b w:val="0"/>
          <w:i w:val="0"/>
        </w:rPr>
        <w:t xml:space="preserve">Before we meet, finish this sentence in your journal: “Someone who has made me feel safe is ________, and what they did was ________.” </w:t>
      </w:r>
      <w:r>
        <w:rPr>
          <w:b/>
          <w:i w:val="0"/>
        </w:rPr>
        <w:t xml:space="preserve">Done: </w:t>
      </w:r>
      <w:r>
        <w:rPr>
          <w:b w:val="0"/>
          <w:i w:val="0"/>
        </w:rPr>
        <w:t>☐</w:t>
      </w:r>
    </w:p>
    <w:bookmarkEnd w:id="12"/>
    <w:bookmarkEnd w:id="13"/>
    <w:sectPr>
      <w:headerReference w:type="default" r:id="rId9"/>
      <w:footerReference w:type="default" r:id="rId10"/>
      <w:footnotePr>
        <w:numRestart w:val="eachSect"/>
      </w:footnotePr>
      <w:pgMar w:top="864" w:bottom="864" w:left="1224" w:right="1224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2026-09-09T21:53:41Z</dcterms:created>
  <dcterms:modified xsi:type="dcterms:W3CDTF">2026-09-09T21:53:41Z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