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0d36712f1b372be5693601b7a3983dc33495a4"/>
    <w:p>
      <w:pPr>
        <w:pStyle w:val="Heading1"/>
      </w:pPr>
      <w:r>
        <w:t>Take-Home Sheet — Evening 6: PROAPT, What Each Step Is For</w:t>
      </w:r>
    </w:p>
    <w:p>
      <w:pPr>
        <w:pStyle w:val="FirstParagraph"/>
      </w:pPr>
      <w:r>
        <w:rPr>
          <w:i/>
          <w:iCs/>
        </w:rPr>
        <w:t xml:space="preserve">A companion to this week's homework practice: one short passage a day. Keep it beside the daily template in your journal.</w:t>
      </w:r>
    </w:p>
    <w:p>
      <w:pPr>
        <w:pStyle w:val="BodyText"/>
      </w:pPr>
      <w:r>
        <w:rPr>
          <w:b/>
          <w:bCs/>
        </w:rPr>
        <w:t xml:space="preserve">What it is.</w:t>
      </w:r>
      <w:r>
        <w:t xml:space="preserve"> </w:t>
      </w:r>
      <w:r>
        <w:t xml:space="preserve">A practice for</w:t>
      </w:r>
      <w:r>
        <w:t xml:space="preserve"> </w:t>
      </w:r>
      <w:r>
        <w:rPr>
          <w:i/>
          <w:iCs/>
        </w:rPr>
        <w:t xml:space="preserve">hearing God</w:t>
      </w:r>
      <w:r>
        <w:t xml:space="preserve"> </w:t>
      </w:r>
      <w:r>
        <w:t xml:space="preserve">in scripture, not a Bible study. Faith comes by hearing (Romans 10:17), and hearing is a skill that grows with practice. Six steps:</w:t>
      </w:r>
      <w:r>
        <w:t xml:space="preserve"> </w:t>
      </w:r>
      <w:r>
        <w:rPr>
          <w:b/>
          <w:bCs/>
        </w:rPr>
        <w:t xml:space="preserve">Pray · Read · Observe · Apply · Pray again · Tell.</w:t>
      </w:r>
    </w:p>
    <w:p>
      <w:pPr>
        <w:pStyle w:val="BodyText"/>
      </w:pPr>
      <w:r>
        <w:rPr>
          <w:b/>
          <w:bCs/>
        </w:rPr>
        <w:t xml:space="preserve">The one idea to carry.</w:t>
      </w:r>
      <w:r>
        <w:t xml:space="preserve"> </w:t>
      </w:r>
      <w:r>
        <w:rPr>
          <w:i/>
          <w:iCs/>
        </w:rPr>
        <w:t xml:space="preserve">The order protects the hearing.</w:t>
      </w:r>
      <w:r>
        <w:t xml:space="preserve"> </w:t>
      </w:r>
      <w:r>
        <w:t xml:space="preserve">Ground yourself in what the passage actually</w:t>
      </w:r>
      <w:r>
        <w:t xml:space="preserve"> </w:t>
      </w:r>
      <w:r>
        <w:rPr>
          <w:b/>
          <w:bCs/>
        </w:rPr>
        <w:t xml:space="preserve">says</w:t>
      </w:r>
      <w:r>
        <w:t xml:space="preserve"> </w:t>
      </w:r>
      <w:r>
        <w:t xml:space="preserve">before you work out what it</w:t>
      </w:r>
      <w:r>
        <w:t xml:space="preserve"> </w:t>
      </w:r>
      <w:r>
        <w:rPr>
          <w:b/>
          <w:bCs/>
        </w:rPr>
        <w:t xml:space="preserve">means</w:t>
      </w:r>
      <w:r>
        <w:t xml:space="preserve">: first what it meant in the world where it was written, then what it means for you, in yours. Each step is the floor the next one stands on. Skip ahead and you will mostly hear yourself.</w:t>
      </w:r>
    </w:p>
    <w:tbl>
      <w:tblPr>
        <w:tblStyle w:val="Table"/>
        <w:tblW w:type="pct" w:w="5000"/>
        <w:tblLayout w:type="fixed"/>
        <w:tblLook w:firstRow="1" w:lastRow="0" w:firstColumn="0" w:lastColumn="0" w:noHBand="0" w:noVBand="0" w:val="0020"/>
        <w:tblBorders>
          <w:top w:val="single" w:sz="4" w:color="BFBFBF"/>
          <w:bottom w:val="single" w:sz="4" w:color="BFBFBF"/>
          <w:insideH w:val="single" w:sz="4" w:color="BFBFBF"/>
        </w:tblBorders>
      </w:tblPr>
      <w:tblGrid>
        <w:gridCol w:w="1980"/>
        <w:gridCol w:w="1980"/>
        <w:gridCol w:w="1980"/>
        <w:gridCol w:w="1980"/>
      </w:tblGrid>
      <w:tr>
        <w:trPr>
          <w:tblHeader w:val="on"/>
        </w:trPr>
        <w:tc>
          <w:tcPr>
            <w:tcW w:type="dxa" w:w="1800"/>
          </w:tcPr>
          <w:p>
            <w:pPr>
              <w:pStyle w:val="Compact"/>
              <w:spacing w:after="20"/>
            </w:pPr>
            <w:r>
              <w:rPr>
                <w:b/>
                <w:sz w:val="19"/>
              </w:rPr>
              <w:t xml:space="preserve">Step</w:t>
            </w:r>
          </w:p>
        </w:tc>
        <w:tc>
          <w:tcPr>
            <w:tcW w:type="dxa" w:w="2952"/>
          </w:tcPr>
          <w:p>
            <w:pPr>
              <w:pStyle w:val="Compact"/>
              <w:spacing w:after="20"/>
            </w:pPr>
            <w:r>
              <w:rPr>
                <w:b/>
                <w:sz w:val="19"/>
              </w:rPr>
              <w:t xml:space="preserve">What you do</w:t>
            </w:r>
          </w:p>
        </w:tc>
        <w:tc>
          <w:tcPr>
            <w:tcW w:type="dxa" w:w="2952"/>
          </w:tcPr>
          <w:p>
            <w:pPr>
              <w:pStyle w:val="Compact"/>
              <w:spacing w:after="20"/>
            </w:pPr>
            <w:r>
              <w:rPr>
                <w:b/>
                <w:sz w:val="19"/>
              </w:rPr>
              <w:t xml:space="preserve">Why it matters</w:t>
            </w:r>
          </w:p>
        </w:tc>
        <w:tc>
          <w:tcPr>
            <w:tcW w:type="dxa" w:w="2520"/>
          </w:tcPr>
          <w:p>
            <w:pPr>
              <w:pStyle w:val="Compact"/>
              <w:spacing w:after="20"/>
            </w:pPr>
            <w:r>
              <w:rPr>
                <w:b/>
                <w:sz w:val="19"/>
              </w:rPr>
              <w:t xml:space="preserve">Skip it, and…</w:t>
            </w:r>
          </w:p>
        </w:tc>
      </w:tr>
      <w:tr>
        <w:tc>
          <w:tcPr>
            <w:tcW w:type="dxa" w:w="1800"/>
          </w:tcPr>
          <w:p>
            <w:pPr>
              <w:pStyle w:val="Compact"/>
              <w:spacing w:after="20"/>
            </w:pPr>
            <w:r>
              <w:rPr>
                <w:b/>
                <w:bCs/>
                <w:sz w:val="19"/>
              </w:rPr>
              <w:t xml:space="preserve">Pray</w:t>
            </w:r>
          </w:p>
        </w:tc>
        <w:tc>
          <w:tcPr>
            <w:tcW w:type="dxa" w:w="2952"/>
          </w:tcPr>
          <w:p>
            <w:pPr>
              <w:pStyle w:val="Compact"/>
              <w:spacing w:after="20"/>
            </w:pPr>
            <w:r>
              <w:rPr>
                <w:sz w:val="19"/>
              </w:rPr>
              <w:t xml:space="preserve">Ask the Spirit to speak, briefly.</w:t>
            </w:r>
          </w:p>
        </w:tc>
        <w:tc>
          <w:tcPr>
            <w:tcW w:type="dxa" w:w="2952"/>
          </w:tcPr>
          <w:p>
            <w:pPr>
              <w:pStyle w:val="Compact"/>
              <w:spacing w:after="20"/>
            </w:pPr>
            <w:r>
              <w:rPr>
                <w:sz w:val="19"/>
              </w:rPr>
              <w:t xml:space="preserve">You come expecting to</w:t>
            </w:r>
            <w:r>
              <w:rPr>
                <w:sz w:val="19"/>
              </w:rPr>
              <w:t xml:space="preserve"> </w:t>
            </w:r>
            <w:r>
              <w:rPr>
                <w:i/>
                <w:iCs/>
                <w:sz w:val="19"/>
              </w:rPr>
              <w:t xml:space="preserve">hear</w:t>
            </w:r>
            <w:r>
              <w:rPr>
                <w:sz w:val="19"/>
              </w:rPr>
              <w:t xml:space="preserve">, not to extract information. The Word is His.</w:t>
            </w:r>
          </w:p>
        </w:tc>
        <w:tc>
          <w:tcPr>
            <w:tcW w:type="dxa" w:w="2520"/>
          </w:tcPr>
          <w:p>
            <w:pPr>
              <w:pStyle w:val="Compact"/>
              <w:spacing w:after="20"/>
            </w:pPr>
            <w:r>
              <w:rPr>
                <w:sz w:val="19"/>
              </w:rPr>
              <w:t xml:space="preserve">You get information without hearing.</w:t>
            </w:r>
          </w:p>
        </w:tc>
      </w:tr>
      <w:tr>
        <w:tc>
          <w:tcPr>
            <w:tcW w:type="dxa" w:w="1800"/>
          </w:tcPr>
          <w:p>
            <w:pPr>
              <w:pStyle w:val="Compact"/>
              <w:spacing w:after="20"/>
            </w:pPr>
            <w:r>
              <w:rPr>
                <w:b/>
                <w:bCs/>
                <w:sz w:val="19"/>
              </w:rPr>
              <w:t xml:space="preserve">Read</w:t>
            </w:r>
          </w:p>
        </w:tc>
        <w:tc>
          <w:tcPr>
            <w:tcW w:type="dxa" w:w="2952"/>
          </w:tcPr>
          <w:p>
            <w:pPr>
              <w:pStyle w:val="Compact"/>
              <w:spacing w:after="20"/>
            </w:pPr>
            <w:r>
              <w:rPr>
                <w:sz w:val="19"/>
              </w:rPr>
              <w:t xml:space="preserve">Read it through slowly, twice if short, aloud if you can.</w:t>
            </w:r>
          </w:p>
        </w:tc>
        <w:tc>
          <w:tcPr>
            <w:tcW w:type="dxa" w:w="2952"/>
          </w:tcPr>
          <w:p>
            <w:pPr>
              <w:pStyle w:val="Compact"/>
              <w:spacing w:after="20"/>
            </w:pPr>
            <w:r>
              <w:rPr>
                <w:sz w:val="19"/>
              </w:rPr>
              <w:t xml:space="preserve">Let it land whole before you take it apart.</w:t>
            </w:r>
          </w:p>
        </w:tc>
        <w:tc>
          <w:tcPr>
            <w:tcW w:type="dxa" w:w="2520"/>
          </w:tcPr>
          <w:p>
            <w:pPr>
              <w:pStyle w:val="Compact"/>
              <w:spacing w:after="20"/>
            </w:pPr>
            <w:r>
              <w:rPr>
                <w:sz w:val="19"/>
              </w:rPr>
              <w:t xml:space="preserve">You read for what you already think.</w:t>
            </w:r>
          </w:p>
        </w:tc>
      </w:tr>
      <w:tr>
        <w:tc>
          <w:tcPr>
            <w:tcW w:type="dxa" w:w="1800"/>
          </w:tcPr>
          <w:p>
            <w:pPr>
              <w:pStyle w:val="Compact"/>
              <w:spacing w:after="20"/>
            </w:pPr>
            <w:r>
              <w:rPr>
                <w:b/>
                <w:bCs/>
                <w:sz w:val="19"/>
              </w:rPr>
              <w:t xml:space="preserve">Observe: the data</w:t>
            </w:r>
          </w:p>
        </w:tc>
        <w:tc>
          <w:tcPr>
            <w:tcW w:type="dxa" w:w="2952"/>
          </w:tcPr>
          <w:p>
            <w:pPr>
              <w:pStyle w:val="Compact"/>
              <w:spacing w:after="20"/>
            </w:pPr>
            <w:r>
              <w:rPr>
                <w:sz w:val="19"/>
              </w:rPr>
              <w:t xml:space="preserve">Who, what, when, where, straight off the page.</w:t>
            </w:r>
          </w:p>
        </w:tc>
        <w:tc>
          <w:tcPr>
            <w:tcW w:type="dxa" w:w="2952"/>
          </w:tcPr>
          <w:p>
            <w:pPr>
              <w:pStyle w:val="Compact"/>
              <w:spacing w:after="20"/>
            </w:pPr>
            <w:r>
              <w:rPr>
                <w:sz w:val="19"/>
              </w:rPr>
              <w:t xml:space="preserve">The ground. Anyone could check it, even someone who has never opened a Bible.</w:t>
            </w:r>
          </w:p>
        </w:tc>
        <w:tc>
          <w:tcPr>
            <w:tcW w:type="dxa" w:w="2520"/>
          </w:tcPr>
          <w:p>
            <w:pPr>
              <w:pStyle w:val="Compact"/>
              <w:spacing w:after="20"/>
            </w:pPr>
            <w:r>
              <w:rPr>
                <w:sz w:val="19"/>
              </w:rPr>
              <w:t xml:space="preserve">You import what you already believe. This is where most misreadings start.</w:t>
            </w:r>
          </w:p>
        </w:tc>
      </w:tr>
      <w:tr>
        <w:tc>
          <w:tcPr>
            <w:tcW w:type="dxa" w:w="1800"/>
          </w:tcPr>
          <w:p>
            <w:pPr>
              <w:pStyle w:val="Compact"/>
              <w:spacing w:after="20"/>
            </w:pPr>
            <w:r>
              <w:rPr>
                <w:b/>
                <w:bCs/>
                <w:sz w:val="19"/>
              </w:rPr>
              <w:t xml:space="preserve">Observe: the interpretation</w:t>
            </w:r>
          </w:p>
        </w:tc>
        <w:tc>
          <w:tcPr>
            <w:tcW w:type="dxa" w:w="2952"/>
          </w:tcPr>
          <w:p>
            <w:pPr>
              <w:pStyle w:val="Compact"/>
              <w:spacing w:after="20"/>
            </w:pPr>
            <w:r>
              <w:rPr>
                <w:sz w:val="19"/>
              </w:rPr>
              <w:t xml:space="preserve">What stands out, surprises, or seems strange in the data, and why it would have mattered to those who first heard it.</w:t>
            </w:r>
          </w:p>
        </w:tc>
        <w:tc>
          <w:tcPr>
            <w:tcW w:type="dxa" w:w="2952"/>
          </w:tcPr>
          <w:p>
            <w:pPr>
              <w:pStyle w:val="Compact"/>
              <w:spacing w:after="20"/>
            </w:pPr>
            <w:r>
              <w:rPr>
                <w:sz w:val="19"/>
              </w:rPr>
              <w:t xml:space="preserve">The passage meant something in its own world before it means something in yours.</w:t>
            </w:r>
          </w:p>
        </w:tc>
        <w:tc>
          <w:tcPr>
            <w:tcW w:type="dxa" w:w="2520"/>
          </w:tcPr>
          <w:p>
            <w:pPr>
              <w:pStyle w:val="Compact"/>
              <w:spacing w:after="20"/>
            </w:pPr>
            <w:r>
              <w:rPr>
                <w:sz w:val="19"/>
              </w:rPr>
              <w:t xml:space="preserve">The passage ends up saying what you wanted it to say.</w:t>
            </w:r>
          </w:p>
        </w:tc>
      </w:tr>
      <w:tr>
        <w:tc>
          <w:tcPr>
            <w:tcW w:type="dxa" w:w="1800"/>
          </w:tcPr>
          <w:p>
            <w:pPr>
              <w:pStyle w:val="Compact"/>
              <w:spacing w:after="20"/>
            </w:pPr>
            <w:r>
              <w:rPr>
                <w:b/>
                <w:bCs/>
                <w:sz w:val="19"/>
              </w:rPr>
              <w:t xml:space="preserve">Apply</w:t>
            </w:r>
          </w:p>
        </w:tc>
        <w:tc>
          <w:tcPr>
            <w:tcW w:type="dxa" w:w="2952"/>
          </w:tcPr>
          <w:p>
            <w:pPr>
              <w:pStyle w:val="Compact"/>
              <w:spacing w:after="20"/>
            </w:pPr>
            <w:r>
              <w:rPr>
                <w:sz w:val="19"/>
              </w:rPr>
              <w:t xml:space="preserve">What is this saying to</w:t>
            </w:r>
            <w:r>
              <w:rPr>
                <w:sz w:val="19"/>
              </w:rPr>
              <w:t xml:space="preserve"> </w:t>
            </w:r>
            <w:r>
              <w:rPr>
                <w:i/>
                <w:iCs/>
                <w:sz w:val="19"/>
              </w:rPr>
              <w:t xml:space="preserve">me</w:t>
            </w:r>
            <w:r>
              <w:rPr>
                <w:sz w:val="19"/>
              </w:rPr>
              <w:t xml:space="preserve">, today, in my actual situation? One specific thing.</w:t>
            </w:r>
          </w:p>
        </w:tc>
        <w:tc>
          <w:tcPr>
            <w:tcW w:type="dxa" w:w="2952"/>
          </w:tcPr>
          <w:p>
            <w:pPr>
              <w:pStyle w:val="Compact"/>
              <w:spacing w:after="20"/>
            </w:pPr>
            <w:r>
              <w:rPr>
                <w:sz w:val="19"/>
              </w:rPr>
              <w:t xml:space="preserve">The step that turns reading into hearing: the general word becomes a specific word.</w:t>
            </w:r>
          </w:p>
        </w:tc>
        <w:tc>
          <w:tcPr>
            <w:tcW w:type="dxa" w:w="2520"/>
          </w:tcPr>
          <w:p>
            <w:pPr>
              <w:pStyle w:val="Compact"/>
              <w:spacing w:after="20"/>
            </w:pPr>
            <w:r>
              <w:rPr>
                <w:sz w:val="19"/>
              </w:rPr>
              <w:t xml:space="preserve">You stay in Bible study, or apply it to somebody else.</w:t>
            </w:r>
          </w:p>
        </w:tc>
      </w:tr>
      <w:tr>
        <w:tc>
          <w:tcPr>
            <w:tcW w:type="dxa" w:w="1800"/>
          </w:tcPr>
          <w:p>
            <w:pPr>
              <w:pStyle w:val="Compact"/>
              <w:spacing w:after="20"/>
            </w:pPr>
            <w:r>
              <w:rPr>
                <w:b/>
                <w:bCs/>
                <w:sz w:val="19"/>
              </w:rPr>
              <w:t xml:space="preserve">Pray again</w:t>
            </w:r>
          </w:p>
        </w:tc>
        <w:tc>
          <w:tcPr>
            <w:tcW w:type="dxa" w:w="2952"/>
          </w:tcPr>
          <w:p>
            <w:pPr>
              <w:pStyle w:val="Compact"/>
              <w:spacing w:after="20"/>
            </w:pPr>
            <w:r>
              <w:rPr>
                <w:sz w:val="19"/>
              </w:rPr>
              <w:t xml:space="preserve">Tell God what you heard, what you are willing to do, and what you are struggling to be willing to do.</w:t>
            </w:r>
          </w:p>
        </w:tc>
        <w:tc>
          <w:tcPr>
            <w:tcW w:type="dxa" w:w="2952"/>
          </w:tcPr>
          <w:p>
            <w:pPr>
              <w:pStyle w:val="Compact"/>
              <w:spacing w:after="20"/>
            </w:pPr>
            <w:r>
              <w:rPr>
                <w:sz w:val="19"/>
              </w:rPr>
              <w:t xml:space="preserve">Hearing becomes a response, and obedience begins here.</w:t>
            </w:r>
          </w:p>
        </w:tc>
        <w:tc>
          <w:tcPr>
            <w:tcW w:type="dxa" w:w="2520"/>
          </w:tcPr>
          <w:p>
            <w:pPr>
              <w:pStyle w:val="Compact"/>
              <w:spacing w:after="20"/>
            </w:pPr>
            <w:r>
              <w:rPr>
                <w:sz w:val="19"/>
              </w:rPr>
              <w:t xml:space="preserve">Insight with no answer.</w:t>
            </w:r>
          </w:p>
        </w:tc>
      </w:tr>
      <w:tr>
        <w:tc>
          <w:tcPr>
            <w:tcW w:type="dxa" w:w="1800"/>
          </w:tcPr>
          <w:p>
            <w:pPr>
              <w:pStyle w:val="Compact"/>
              <w:spacing w:after="20"/>
            </w:pPr>
            <w:r>
              <w:rPr>
                <w:b/>
                <w:bCs/>
                <w:sz w:val="19"/>
              </w:rPr>
              <w:t xml:space="preserve">Tell</w:t>
            </w:r>
          </w:p>
        </w:tc>
        <w:tc>
          <w:tcPr>
            <w:tcW w:type="dxa" w:w="2952"/>
          </w:tcPr>
          <w:p>
            <w:pPr>
              <w:pStyle w:val="Compact"/>
              <w:spacing w:after="20"/>
            </w:pPr>
            <w:r>
              <w:rPr>
                <w:sz w:val="19"/>
              </w:rPr>
              <w:t xml:space="preserve">Say one sentence of what you heard to someone.</w:t>
            </w:r>
          </w:p>
        </w:tc>
        <w:tc>
          <w:tcPr>
            <w:tcW w:type="dxa" w:w="2952"/>
          </w:tcPr>
          <w:p>
            <w:pPr>
              <w:pStyle w:val="Compact"/>
              <w:spacing w:after="20"/>
            </w:pPr>
            <w:r>
              <w:rPr>
                <w:sz w:val="19"/>
              </w:rPr>
              <w:t xml:space="preserve">Spoken hearing stays. It also lets someone else hear what you heard, a gentle check.</w:t>
            </w:r>
          </w:p>
        </w:tc>
        <w:tc>
          <w:tcPr>
            <w:tcW w:type="dxa" w:w="2520"/>
          </w:tcPr>
          <w:p>
            <w:pPr>
              <w:pStyle w:val="Compact"/>
              <w:spacing w:after="20"/>
            </w:pPr>
            <w:r>
              <w:rPr>
                <w:sz w:val="19"/>
              </w:rPr>
              <w:t xml:space="preserve">The most often skipped step, and the one that matters most over time.</w:t>
            </w:r>
          </w:p>
        </w:tc>
      </w:tr>
    </w:tbl>
    <w:p>
      <w:pPr>
        <w:pStyle w:val="BodyText"/>
      </w:pPr>
      <w:r>
        <w:rPr>
          <w:b/>
          <w:bCs/>
        </w:rPr>
        <w:t xml:space="preserve">A small example (John 4).</w:t>
      </w:r>
      <w:r>
        <w:t xml:space="preserve"> </w:t>
      </w:r>
      <w:r>
        <w:rPr>
          <w:i/>
          <w:iCs/>
        </w:rPr>
        <w:t xml:space="preserve">Data:</w:t>
      </w:r>
      <w:r>
        <w:t xml:space="preserve"> </w:t>
      </w:r>
      <w:r>
        <w:t xml:space="preserve">a Samaritan woman, a well, the middle of the day, and Jesus asks her for water.</w:t>
      </w:r>
      <w:r>
        <w:t xml:space="preserve"> </w:t>
      </w:r>
      <w:r>
        <w:rPr>
          <w:i/>
          <w:iCs/>
        </w:rPr>
        <w:t xml:space="preserve">Interpretation:</w:t>
      </w:r>
      <w:r>
        <w:t xml:space="preserve"> </w:t>
      </w:r>
      <w:r>
        <w:t xml:space="preserve">she is startled that he speaks to her at all, because in that day Jews did not deal with Samaritans and a teacher did not talk with a woman alone.</w:t>
      </w:r>
      <w:r>
        <w:t xml:space="preserve"> </w:t>
      </w:r>
      <w:r>
        <w:rPr>
          <w:i/>
          <w:iCs/>
        </w:rPr>
        <w:t xml:space="preserve">Apply</w:t>
      </w:r>
      <w:r>
        <w:t xml:space="preserve"> </w:t>
      </w:r>
      <w:r>
        <w:t xml:space="preserve">only comes after that: who do I quietly assume God would not speak through, or to?</w:t>
      </w:r>
    </w:p>
    <w:bookmarkStart w:id="9" w:name="when-you-get-stuck"/>
    <w:p>
      <w:pPr>
        <w:pStyle w:val="Heading2"/>
      </w:pPr>
      <w:r>
        <w:t xml:space="preserve">When you get stuck</w:t>
      </w:r>
    </w:p>
    <w:p>
      <w:pPr>
        <w:pStyle w:val="Compact"/>
        <w:numPr>
          <w:ilvl w:val="0"/>
          <w:numId w:val="1001"/>
        </w:numPr>
      </w:pPr>
      <w:r>
        <w:rPr>
          <w:b/>
          <w:bCs/>
        </w:rPr>
        <w:t xml:space="preserve">Nothing stands out in Observe?</w:t>
      </w:r>
      <w:r>
        <w:t xml:space="preserve"> </w:t>
      </w:r>
      <w:r>
        <w:t xml:space="preserve">Find one word or phrase that caught your attention, and start there.</w:t>
      </w:r>
    </w:p>
    <w:p>
      <w:pPr>
        <w:pStyle w:val="Compact"/>
        <w:numPr>
          <w:ilvl w:val="0"/>
          <w:numId w:val="1001"/>
        </w:numPr>
      </w:pPr>
      <w:r>
        <w:rPr>
          <w:b/>
          <w:bCs/>
        </w:rPr>
        <w:t xml:space="preserve">Apply feels vague or too big?</w:t>
      </w:r>
      <w:r>
        <w:t xml:space="preserve"> </w:t>
      </w:r>
      <w:r>
        <w:t xml:space="preserve">Ask where in your life, right now, this passage might be talking. Name one specific thing.</w:t>
      </w:r>
    </w:p>
    <w:p>
      <w:pPr>
        <w:pStyle w:val="Compact"/>
        <w:numPr>
          <w:ilvl w:val="0"/>
          <w:numId w:val="1001"/>
        </w:numPr>
      </w:pPr>
      <w:r>
        <w:rPr>
          <w:b/>
          <w:bCs/>
        </w:rPr>
        <w:t xml:space="preserve">Applying it to someone else?</w:t>
      </w:r>
      <w:r>
        <w:t xml:space="preserve"> </w:t>
      </w:r>
      <w:r>
        <w:t xml:space="preserve">Bring it back to yourself first. They are doing their own work.</w:t>
      </w:r>
    </w:p>
    <w:p>
      <w:pPr>
        <w:pStyle w:val="Compact"/>
        <w:numPr>
          <w:ilvl w:val="0"/>
          <w:numId w:val="1001"/>
        </w:numPr>
      </w:pPr>
      <w:r>
        <w:rPr>
          <w:b/>
          <w:bCs/>
        </w:rPr>
        <w:t xml:space="preserve">Not sure it was God?</w:t>
      </w:r>
      <w:r>
        <w:t xml:space="preserve"> </w:t>
      </w:r>
      <w:r>
        <w:t xml:space="preserve">Tell it anyway. What you heard counts, even if you are not sure it was Him.</w:t>
      </w:r>
    </w:p>
    <w:p>
      <w:pPr>
        <w:pStyle w:val="Compact"/>
        <w:numPr>
          <w:ilvl w:val="0"/>
          <w:numId w:val="1001"/>
        </w:numPr>
      </w:pPr>
      <w:r>
        <w:rPr>
          <w:b/>
          <w:bCs/>
        </w:rPr>
        <w:t xml:space="preserve">Missed a day?</w:t>
      </w:r>
      <w:r>
        <w:t xml:space="preserve"> </w:t>
      </w:r>
      <w:r>
        <w:t xml:space="preserve">Pick up where you are. A missed day is an invitation to return, not a failure.</w:t>
      </w:r>
    </w:p>
    <w:bookmarkEnd w:id="9"/>
    <w:bookmarkEnd w:id="10"/>
    <w:sectPr>
      <w:headerReference w:type="default" r:id="rId9"/>
      <w:footerReference w:type="default" r:id="rId10"/>
      <w:footnotePr>
        <w:numRestart w:val="eachSect"/>
      </w:footnotePr>
      <w:pgMar w:top="792" w:bottom="792"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47" w:lineRule="auto"/>
    </w:pPr>
    <w:rPr>
      <w:sz w:val="20"/>
    </w:rPr>
  </w:style>
  <w:style w:styleId="BodyText" w:type="paragraph">
    <w:name w:val="Body Text"/>
    <w:basedOn w:val="Normal"/>
    <w:link w:val="BodyTextChar"/>
    <w:qFormat/>
    <w:pPr>
      <w:spacing w:after="80" w:before="0" w:line="247" w:lineRule="auto"/>
    </w:pPr>
    <w:rPr>
      <w:sz w:val="20"/>
    </w:rPr>
  </w:style>
  <w:style w:customStyle="1" w:styleId="FirstParagraph" w:type="paragraph">
    <w:name w:val="First Paragraph"/>
    <w:basedOn w:val="BodyText"/>
    <w:next w:val="BodyText"/>
    <w:qFormat/>
    <w:pPr>
      <w:spacing w:after="80" w:before="0" w:line="247" w:lineRule="auto"/>
    </w:pPr>
    <w:rPr>
      <w:sz w:val="20"/>
    </w:rPr>
  </w:style>
  <w:style w:customStyle="1" w:styleId="Compact" w:type="paragraph">
    <w:name w:val="Compact"/>
    <w:basedOn w:val="BodyText"/>
    <w:qFormat/>
    <w:pPr>
      <w:spacing w:after="20" w:before="0" w:line="247" w:lineRule="auto"/>
    </w:pPr>
    <w:rPr>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00"/>
      <w:outlineLvl w:val="0"/>
    </w:pPr>
    <w:rPr>
      <w:rFonts w:asciiTheme="majorHAnsi" w:cstheme="majorBidi" w:eastAsiaTheme="majorEastAsia" w:hAnsiTheme="majorHAnsi"/>
      <w:color w:themeColor="accent1" w:themeShade="BF" w:val="0F4761"/>
      <w:sz w:val="30"/>
      <w:szCs w:val="40"/>
    </w:rPr>
  </w:style>
  <w:style w:styleId="Heading2" w:type="paragraph">
    <w:name w:val="heading 2"/>
    <w:basedOn w:val="Normal"/>
    <w:next w:val="BodyText"/>
    <w:link w:val="Heading2Char"/>
    <w:uiPriority w:val="9"/>
    <w:semiHidden/>
    <w:unhideWhenUsed/>
    <w:qFormat/>
    <w:rsid w:val="00A10FD9"/>
    <w:pPr>
      <w:keepNext/>
      <w:keepLines/>
      <w:spacing w:after="40" w:before="100"/>
      <w:outlineLvl w:val="1"/>
    </w:pPr>
    <w:rPr>
      <w:rFonts w:asciiTheme="majorHAnsi" w:cstheme="majorBidi" w:eastAsiaTheme="majorEastAsia" w:hAnsiTheme="majorHAnsi"/>
      <w:color w:themeColor="accent1" w:themeShade="BF" w:val="0F4761"/>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2026-10-03T16:29:00Z</dcterms:created>
  <dcterms:modified xsi:type="dcterms:W3CDTF">2026-10-03T16:29:00Z</dcterms:modified>
</cp:coreProperties>
</file>

<file path=docProps/custom.xml><?xml version="1.0" encoding="utf-8"?>
<Properties xmlns="http://schemas.openxmlformats.org/officeDocument/2006/custom-properties" xmlns:vt="http://schemas.openxmlformats.org/officeDocument/2006/docPropsVTypes"/>
</file>