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Evening 6 — PROAPT in Pairs</w:t>
      </w:r>
    </w:p>
    <w:p>
      <w:pPr>
        <w:pStyle w:val="BodyText"/>
      </w:pPr>
      <w:r>
        <w:rPr>
          <w:b w:val="0"/>
          <w:i/>
        </w:rPr>
        <w:t>For the pair, away from the screen. One Reader, one Listener: the Reader leads the six steps, the Listener works alongside without interrupting. Then switch.</w:t>
      </w:r>
    </w:p>
    <w:p>
      <w:pPr>
        <w:pStyle w:val="Heading2"/>
      </w:pPr>
      <w:r>
        <w:t>The times</w:t>
      </w:r>
    </w:p>
    <w:p>
      <w:pPr>
        <w:pStyle w:val="BodyText"/>
      </w:pPr>
      <w:r>
        <w:rPr>
          <w:b/>
          <w:i w:val="0"/>
        </w:rPr>
        <w:t xml:space="preserve">Pass one </w:t>
      </w:r>
      <w:r>
        <w:rPr>
          <w:b w:val="0"/>
          <w:i w:val="0"/>
        </w:rPr>
        <w:t xml:space="preserve">Mark 1:14–20, deeper — about twelve minutes. </w:t>
      </w:r>
      <w:r>
        <w:rPr>
          <w:b/>
          <w:i w:val="0"/>
        </w:rPr>
        <w:t xml:space="preserve">Switch at 8:02. </w:t>
      </w:r>
      <w:r>
        <w:rPr>
          <w:b/>
          <w:i w:val="0"/>
        </w:rPr>
        <w:t xml:space="preserve">Pass two </w:t>
      </w:r>
      <w:r>
        <w:rPr>
          <w:b w:val="0"/>
          <w:i w:val="0"/>
        </w:rPr>
        <w:t xml:space="preserve">Mark 2:1–12, the paralytic — to 8:13. </w:t>
      </w:r>
      <w:r>
        <w:rPr>
          <w:b/>
          <w:i w:val="0"/>
        </w:rPr>
        <w:t xml:space="preserve">The Tell, </w:t>
      </w:r>
      <w:r>
        <w:rPr>
          <w:b w:val="0"/>
          <w:i w:val="0"/>
        </w:rPr>
        <w:t xml:space="preserve">still in the pair, 8:13–8:19. </w:t>
      </w:r>
      <w:r>
        <w:rPr>
          <w:b/>
          <w:i w:val="0"/>
        </w:rPr>
        <w:t>Back in the circle at 8:19.</w:t>
      </w:r>
    </w:p>
    <w:p>
      <w:pPr>
        <w:pStyle w:val="BodyText"/>
      </w:pPr>
      <w:r>
        <w:rPr>
          <w:b/>
          <w:i w:val="0"/>
        </w:rPr>
        <w:t xml:space="preserve">A fresh passage for pass one? </w:t>
      </w:r>
      <w:r>
        <w:rPr>
          <w:b w:val="0"/>
          <w:i w:val="0"/>
        </w:rPr>
        <w:t>Instead of Mark 1:14–20 again, choose Luke 5:1–11, John 1:35–42, or Mark 10:46–52.</w:t>
      </w:r>
    </w:p>
    <w:p>
      <w:pPr>
        <w:pStyle w:val="BodyText"/>
      </w:pPr>
      <w:r>
        <w:rPr>
          <w:b w:val="0"/>
          <w:i/>
        </w:rPr>
        <w:t>The container holder keeps the clock and calls each one; you don’t need to watch it.</w:t>
      </w:r>
    </w:p>
    <w:p>
      <w:pPr>
        <w:pStyle w:val="Heading2"/>
      </w:pPr>
      <w:r>
        <w:t>The six steps</w:t>
      </w:r>
    </w:p>
    <w:p>
      <w:pPr>
        <w:pStyle w:val="BodyText"/>
        <w:spacing w:after="40"/>
      </w:pPr>
      <w:r>
        <w:rPr>
          <w:b/>
          <w:i w:val="0"/>
        </w:rPr>
        <w:t>1.  Pray</w:t>
      </w:r>
      <w:r>
        <w:rPr>
          <w:b w:val="0"/>
          <w:i w:val="0"/>
        </w:rPr>
        <w:t xml:space="preserve"> — “Holy Spirit, you are welcome here. Speak. We are listening.”</w:t>
      </w:r>
    </w:p>
    <w:p>
      <w:pPr>
        <w:pStyle w:val="BodyText"/>
        <w:spacing w:after="40"/>
      </w:pPr>
      <w:r>
        <w:rPr>
          <w:b/>
          <w:i w:val="0"/>
        </w:rPr>
        <w:t>2.  Read</w:t>
      </w:r>
      <w:r>
        <w:rPr>
          <w:b w:val="0"/>
          <w:i w:val="0"/>
        </w:rPr>
        <w:t xml:space="preserve"> — slowly, to receive it; don’t analyze yet.</w:t>
      </w:r>
    </w:p>
    <w:p>
      <w:pPr>
        <w:pStyle w:val="BodyText"/>
        <w:spacing w:after="40"/>
      </w:pPr>
      <w:r>
        <w:rPr>
          <w:b/>
          <w:i w:val="0"/>
        </w:rPr>
        <w:t>3.  Observe</w:t>
      </w:r>
      <w:r>
        <w:rPr>
          <w:b w:val="0"/>
          <w:i w:val="0"/>
        </w:rPr>
        <w:t xml:space="preserve"> — first the data (who, what, when, where, straight off the page), then what stands out or surprises you.</w:t>
      </w:r>
    </w:p>
    <w:p>
      <w:pPr>
        <w:pStyle w:val="BodyText"/>
        <w:spacing w:after="40"/>
      </w:pPr>
      <w:r>
        <w:rPr>
          <w:b/>
          <w:i w:val="0"/>
        </w:rPr>
        <w:t>4.  Apply</w:t>
      </w:r>
      <w:r>
        <w:rPr>
          <w:b w:val="0"/>
          <w:i w:val="0"/>
        </w:rPr>
        <w:t xml:space="preserve"> — “What does this passage mean for me, today, in my life?” One specific thing.</w:t>
      </w:r>
    </w:p>
    <w:p>
      <w:pPr>
        <w:pStyle w:val="BodyText"/>
        <w:spacing w:after="40"/>
      </w:pPr>
      <w:r>
        <w:rPr>
          <w:b/>
          <w:i w:val="0"/>
        </w:rPr>
        <w:t>5.  Pray again</w:t>
      </w:r>
      <w:r>
        <w:rPr>
          <w:b w:val="0"/>
          <w:i w:val="0"/>
        </w:rPr>
        <w:t xml:space="preserve"> — tell God what you heard, what you are willing to do, what you’re struggling to be willing to do.</w:t>
      </w:r>
    </w:p>
    <w:p>
      <w:pPr>
        <w:pStyle w:val="BodyText"/>
        <w:spacing w:after="40"/>
      </w:pPr>
      <w:r>
        <w:rPr>
          <w:b/>
          <w:i w:val="0"/>
        </w:rPr>
        <w:t>6.  Tell</w:t>
      </w:r>
      <w:r>
        <w:rPr>
          <w:b w:val="0"/>
          <w:i w:val="0"/>
        </w:rPr>
        <w:t xml:space="preserve"> — the Reader tells the Listener one sentence: what I heard.</w:t>
      </w:r>
    </w:p>
    <w:p>
      <w:pPr>
        <w:pStyle w:val="Heading2"/>
      </w:pPr>
      <w:r>
        <w:t>If you get stuck</w:t>
      </w:r>
    </w:p>
    <w:p>
      <w:pPr>
        <w:pStyle w:val="BodyText"/>
        <w:spacing w:after="40"/>
      </w:pPr>
      <w:r>
        <w:rPr>
          <w:b/>
          <w:i w:val="0"/>
        </w:rPr>
        <w:t xml:space="preserve">On Observe: </w:t>
      </w:r>
      <w:r>
        <w:rPr>
          <w:b w:val="0"/>
          <w:i w:val="0"/>
        </w:rPr>
        <w:t>“What’s one word or phrase that caught your attention?”</w:t>
      </w:r>
    </w:p>
    <w:p>
      <w:pPr>
        <w:pStyle w:val="BodyText"/>
        <w:spacing w:after="40"/>
      </w:pPr>
      <w:r>
        <w:rPr>
          <w:b/>
          <w:i w:val="0"/>
        </w:rPr>
        <w:t xml:space="preserve">On Apply: </w:t>
      </w:r>
      <w:r>
        <w:rPr>
          <w:b w:val="0"/>
          <w:i w:val="0"/>
        </w:rPr>
        <w:t>“Where in my life right now might this passage be talking?”</w:t>
      </w:r>
    </w:p>
    <w:p>
      <w:pPr>
        <w:pStyle w:val="BodyText"/>
        <w:spacing w:after="40"/>
      </w:pPr>
      <w:r>
        <w:rPr>
          <w:b/>
          <w:i w:val="0"/>
        </w:rPr>
        <w:t xml:space="preserve">Rushing: </w:t>
      </w:r>
      <w:r>
        <w:rPr>
          <w:b w:val="0"/>
          <w:i w:val="0"/>
        </w:rPr>
        <w:t>“Slow down. The Spirit isn’t in a hurry.”</w:t>
      </w:r>
    </w:p>
    <w:p>
      <w:pPr>
        <w:pStyle w:val="BodyText"/>
      </w:pPr>
      <w:r>
        <w:rPr>
          <w:b/>
          <w:i w:val="0"/>
        </w:rPr>
        <w:t xml:space="preserve">Finished early: </w:t>
      </w:r>
      <w:r>
        <w:rPr>
          <w:b w:val="0"/>
          <w:i w:val="0"/>
        </w:rPr>
        <w:t>take another passage and get another rep.</w:t>
      </w:r>
    </w:p>
    <w:p>
      <w:pPr>
        <w:pStyle w:val="Heading2"/>
      </w:pPr>
      <w:r>
        <w:t>The Tell, together</w:t>
      </w:r>
    </w:p>
    <w:p>
      <w:pPr>
        <w:pStyle w:val="BodyText"/>
      </w:pPr>
      <w:r>
        <w:rPr>
          <w:b w:val="0"/>
          <w:i w:val="0"/>
        </w:rPr>
        <w:t>Each of you tells ONE specific thing you heard tonight, in one sentence. Receive it without preaching: “We hear that.” “Thank you for naming that.”</w:t>
      </w:r>
    </w:p>
    <w:p>
      <w:pPr>
        <w:pStyle w:val="BodyText"/>
      </w:pPr>
      <w:r>
        <w:rPr>
          <w:b w:val="0"/>
          <w:i/>
        </w:rPr>
        <w:t>If something heavy comes up, honor it briefly and tell a leader after the close; don’t work it through in the pair.</w:t>
      </w:r>
    </w:p>
    <w:sectPr>
      <w:headerReference w:type="default" r:id="rId9"/>
      <w:footerReference w:type="default" r:id="rId10"/>
      <w:footnotePr>
        <w:numRestart w:val="eachSect"/>
      </w:footnotePr>
      <w:pgMar w:top="864" w:bottom="864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2026-09-12T22:05:19Z</dcterms:created>
  <dcterms:modified xsi:type="dcterms:W3CDTF">2026-09-12T22:05:19Z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